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rPr>
          <w:rFonts w:hint="eastAsia"/>
        </w:rPr>
        <w:drawing>
          <wp:inline distT="0" distB="0" distL="0" distR="0">
            <wp:extent cx="2357120" cy="592455"/>
            <wp:effectExtent l="0" t="0" r="5080" b="0"/>
            <wp:docPr id="1" name="图片 1"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57120" cy="592455"/>
                    </a:xfrm>
                    <a:prstGeom prst="rect">
                      <a:avLst/>
                    </a:prstGeom>
                    <a:noFill/>
                    <a:ln>
                      <a:noFill/>
                    </a:ln>
                  </pic:spPr>
                </pic:pic>
              </a:graphicData>
            </a:graphic>
          </wp:inline>
        </w:drawing>
      </w:r>
    </w:p>
    <w:p>
      <w:pPr>
        <w:ind w:firstLine="3360" w:firstLineChars="1200"/>
      </w:pPr>
      <w:r>
        <w:rPr>
          <w:rFonts w:hint="eastAsia"/>
        </w:rPr>
        <w:t xml:space="preserve">       </w:t>
      </w:r>
    </w:p>
    <w:p>
      <w:pPr>
        <w:jc w:val="center"/>
        <w:rPr>
          <w:rFonts w:ascii="黑体" w:hAnsi="宋体" w:eastAsia="黑体"/>
          <w:b/>
          <w:color w:val="000000"/>
          <w:kern w:val="0"/>
          <w:sz w:val="48"/>
          <w:szCs w:val="48"/>
        </w:rPr>
      </w:pPr>
    </w:p>
    <w:p>
      <w:pPr>
        <w:jc w:val="center"/>
        <w:rPr>
          <w:rFonts w:ascii="黑体" w:hAnsi="宋体" w:eastAsia="黑体"/>
          <w:b/>
          <w:color w:val="000000"/>
          <w:kern w:val="0"/>
          <w:sz w:val="48"/>
          <w:szCs w:val="48"/>
        </w:rPr>
      </w:pPr>
    </w:p>
    <w:p>
      <w:pPr>
        <w:jc w:val="center"/>
        <w:rPr>
          <w:rFonts w:ascii="黑体" w:hAnsi="宋体" w:eastAsia="黑体"/>
          <w:b/>
          <w:color w:val="000000"/>
          <w:kern w:val="0"/>
          <w:sz w:val="48"/>
          <w:szCs w:val="48"/>
        </w:rPr>
      </w:pPr>
    </w:p>
    <w:p>
      <w:pPr>
        <w:jc w:val="center"/>
        <w:rPr>
          <w:rFonts w:ascii="黑体" w:hAnsi="宋体" w:eastAsia="黑体"/>
          <w:b/>
          <w:color w:val="000000"/>
          <w:kern w:val="0"/>
          <w:sz w:val="48"/>
          <w:szCs w:val="48"/>
        </w:rPr>
      </w:pPr>
    </w:p>
    <w:p>
      <w:pPr>
        <w:jc w:val="center"/>
        <w:rPr>
          <w:rFonts w:ascii="黑体" w:hAnsi="宋体" w:eastAsia="黑体"/>
          <w:b/>
          <w:color w:val="000000"/>
          <w:kern w:val="0"/>
          <w:sz w:val="48"/>
          <w:szCs w:val="48"/>
        </w:rPr>
      </w:pPr>
    </w:p>
    <w:p>
      <w:pPr>
        <w:jc w:val="center"/>
        <w:rPr>
          <w:rFonts w:ascii="黑体" w:hAnsi="黑体" w:eastAsia="黑体"/>
          <w:b/>
          <w:bCs/>
          <w:sz w:val="60"/>
          <w:szCs w:val="60"/>
        </w:rPr>
      </w:pPr>
      <w:r>
        <w:rPr>
          <w:rFonts w:hint="eastAsia" w:ascii="黑体" w:hAnsi="宋体" w:eastAsia="黑体"/>
          <w:b/>
          <w:color w:val="000000"/>
          <w:kern w:val="0"/>
          <w:sz w:val="60"/>
          <w:szCs w:val="60"/>
        </w:rPr>
        <w:t>实验室与设备管理制度汇编</w:t>
      </w:r>
    </w:p>
    <w:p>
      <w:pPr>
        <w:jc w:val="center"/>
        <w:rPr>
          <w:b/>
          <w:bCs/>
          <w:sz w:val="44"/>
        </w:rPr>
      </w:pPr>
    </w:p>
    <w:p>
      <w:pPr>
        <w:jc w:val="center"/>
        <w:rPr>
          <w:b/>
          <w:bCs/>
          <w:sz w:val="44"/>
        </w:rPr>
      </w:pPr>
    </w:p>
    <w:p>
      <w:pPr>
        <w:jc w:val="center"/>
        <w:rPr>
          <w:b/>
          <w:bCs/>
          <w:sz w:val="44"/>
        </w:rPr>
      </w:pPr>
    </w:p>
    <w:p>
      <w:pPr>
        <w:snapToGrid w:val="0"/>
        <w:jc w:val="center"/>
        <w:rPr>
          <w:rFonts w:ascii="宋体" w:hAnsi="宋体"/>
        </w:rPr>
      </w:pPr>
    </w:p>
    <w:p>
      <w:pPr>
        <w:snapToGrid w:val="0"/>
        <w:jc w:val="center"/>
        <w:rPr>
          <w:rFonts w:ascii="宋体" w:hAnsi="宋体"/>
        </w:rPr>
      </w:pPr>
      <w:bookmarkStart w:id="137" w:name="_GoBack"/>
      <w:bookmarkEnd w:id="137"/>
    </w:p>
    <w:p>
      <w:pPr>
        <w:snapToGrid w:val="0"/>
        <w:jc w:val="center"/>
        <w:rPr>
          <w:rFonts w:ascii="宋体" w:hAnsi="宋体"/>
        </w:rPr>
      </w:pPr>
    </w:p>
    <w:p>
      <w:pPr>
        <w:snapToGrid w:val="0"/>
        <w:jc w:val="center"/>
        <w:rPr>
          <w:rFonts w:ascii="宋体" w:hAnsi="宋体"/>
        </w:rPr>
      </w:pPr>
    </w:p>
    <w:p>
      <w:pPr>
        <w:snapToGrid w:val="0"/>
        <w:jc w:val="center"/>
        <w:rPr>
          <w:rFonts w:ascii="宋体" w:hAnsi="宋体"/>
        </w:rPr>
      </w:pPr>
    </w:p>
    <w:p>
      <w:pPr>
        <w:snapToGrid w:val="0"/>
        <w:spacing w:line="600" w:lineRule="exact"/>
        <w:jc w:val="center"/>
        <w:rPr>
          <w:rFonts w:ascii="宋体" w:hAnsi="宋体"/>
          <w:b/>
          <w:sz w:val="32"/>
          <w:szCs w:val="32"/>
        </w:rPr>
      </w:pPr>
      <w:r>
        <w:rPr>
          <w:rFonts w:hint="eastAsia" w:ascii="宋体" w:hAnsi="宋体"/>
          <w:b/>
          <w:sz w:val="32"/>
          <w:szCs w:val="32"/>
        </w:rPr>
        <w:t>实验室与资产管理处编制</w:t>
      </w:r>
    </w:p>
    <w:p>
      <w:pPr>
        <w:snapToGrid w:val="0"/>
        <w:spacing w:line="600" w:lineRule="exact"/>
        <w:jc w:val="center"/>
        <w:rPr>
          <w:rFonts w:ascii="宋体" w:hAnsi="宋体"/>
          <w:b/>
          <w:sz w:val="32"/>
          <w:szCs w:val="32"/>
        </w:rPr>
      </w:pPr>
    </w:p>
    <w:p>
      <w:pPr>
        <w:snapToGrid w:val="0"/>
        <w:spacing w:line="600" w:lineRule="exact"/>
        <w:jc w:val="center"/>
        <w:rPr>
          <w:rFonts w:ascii="宋体" w:hAnsi="宋体"/>
          <w:b/>
          <w:sz w:val="32"/>
          <w:szCs w:val="32"/>
        </w:rPr>
      </w:pPr>
      <w:r>
        <w:rPr>
          <w:rFonts w:hint="eastAsia" w:ascii="宋体" w:hAnsi="宋体"/>
          <w:b/>
          <w:sz w:val="32"/>
          <w:szCs w:val="32"/>
        </w:rPr>
        <w:t>二○二〇年</w:t>
      </w:r>
      <w:r>
        <w:rPr>
          <w:rFonts w:hint="eastAsia" w:ascii="宋体" w:hAnsi="宋体"/>
          <w:b/>
          <w:sz w:val="32"/>
          <w:szCs w:val="32"/>
          <w:lang w:eastAsia="zh-CN"/>
        </w:rPr>
        <w:t>七</w:t>
      </w:r>
      <w:r>
        <w:rPr>
          <w:rFonts w:hint="eastAsia" w:ascii="宋体" w:hAnsi="宋体"/>
          <w:b/>
          <w:sz w:val="32"/>
          <w:szCs w:val="32"/>
        </w:rPr>
        <w:t>月</w:t>
      </w:r>
    </w:p>
    <w:p>
      <w:pPr>
        <w:snapToGrid w:val="0"/>
        <w:rPr>
          <w:sz w:val="32"/>
          <w:szCs w:val="32"/>
        </w:rPr>
      </w:pPr>
    </w:p>
    <w:p>
      <w:pPr>
        <w:widowControl/>
        <w:spacing w:line="480" w:lineRule="exact"/>
        <w:jc w:val="center"/>
        <w:rPr>
          <w:rFonts w:ascii="黑体" w:hAnsi="黑体" w:eastAsia="黑体" w:cs="黑体"/>
          <w:b/>
          <w:sz w:val="44"/>
          <w:szCs w:val="44"/>
        </w:rPr>
      </w:pPr>
      <w:r>
        <w:rPr>
          <w:rFonts w:ascii="黑体" w:hAnsi="黑体" w:eastAsia="黑体" w:cs="黑体"/>
          <w:b/>
          <w:sz w:val="44"/>
          <w:szCs w:val="44"/>
        </w:rPr>
        <w:br w:type="page"/>
      </w:r>
      <w:r>
        <w:rPr>
          <w:rFonts w:hint="eastAsia" w:ascii="黑体" w:hAnsi="黑体" w:eastAsia="黑体" w:cs="黑体"/>
          <w:b/>
          <w:sz w:val="44"/>
          <w:szCs w:val="44"/>
        </w:rPr>
        <w:t>前  言</w:t>
      </w:r>
    </w:p>
    <w:p>
      <w:pPr>
        <w:widowControl/>
        <w:spacing w:line="480" w:lineRule="exact"/>
        <w:jc w:val="center"/>
        <w:rPr>
          <w:rFonts w:ascii="黑体" w:hAnsi="黑体" w:eastAsia="黑体" w:cs="黑体"/>
          <w:b/>
          <w:sz w:val="44"/>
          <w:szCs w:val="44"/>
        </w:rPr>
      </w:pPr>
    </w:p>
    <w:p>
      <w:pPr>
        <w:widowControl/>
        <w:spacing w:line="480" w:lineRule="exact"/>
        <w:ind w:firstLine="480" w:firstLineChars="200"/>
        <w:rPr>
          <w:rFonts w:ascii="宋体"/>
          <w:sz w:val="24"/>
          <w:szCs w:val="24"/>
        </w:rPr>
      </w:pPr>
      <w:r>
        <w:rPr>
          <w:rFonts w:hint="eastAsia" w:ascii="宋体"/>
          <w:sz w:val="24"/>
          <w:szCs w:val="24"/>
        </w:rPr>
        <w:t>实验室承载着学生动手能力的提高和科学素养的提升，我校依据现代教育的发展理念秉承“宽知识，厚基础，应用型”的培养模式制定了合理的实验室与设备管理制度构架。用良好的制度来设计出科学、规范的实验室运行规则，推进实验室优质效能的实现。</w:t>
      </w:r>
    </w:p>
    <w:p>
      <w:pPr>
        <w:widowControl/>
        <w:spacing w:line="480" w:lineRule="exact"/>
        <w:ind w:firstLine="480" w:firstLineChars="200"/>
        <w:rPr>
          <w:rFonts w:ascii="宋体"/>
          <w:sz w:val="24"/>
          <w:szCs w:val="24"/>
        </w:rPr>
      </w:pPr>
      <w:r>
        <w:rPr>
          <w:rFonts w:hint="eastAsia" w:ascii="宋体"/>
          <w:sz w:val="24"/>
          <w:szCs w:val="24"/>
        </w:rPr>
        <w:t>建立和健全各项实验室与设备管理规章制度，是贯彻党和国家的方针政策，搞好实验室建设和设备管理工作的保障。我校实验室与设备管理工作的各种规章制度，是根据国家和上级领导部门的方针、政策、规定，结合学校的具体情况而制定的。是上级方针、政策的具体化。一方面体现了保证上级方针、政策的贯彻执行，另一方面又确保学校遵循上级的方针、政策实施实验室与设备建设和管理。为了保证管理工作的高效率，除了加强对工作人员的责任感教育，使其养成高度负责，讲求效率的自觉性外，还有赖于管理规章的建立和实施。建立健全实验室与设备管理工作中的各项规章制度，是使实验室管理活动规范化、系统化、协调化和提高工作效率的必要条件。我校实验室与设备管理制度体系按实验室管理类和仪器设备管理类的框架进行搭建。</w:t>
      </w:r>
    </w:p>
    <w:p>
      <w:pPr>
        <w:widowControl/>
        <w:spacing w:line="480" w:lineRule="exact"/>
        <w:ind w:firstLine="480" w:firstLineChars="200"/>
        <w:rPr>
          <w:rFonts w:ascii="宋体"/>
          <w:sz w:val="24"/>
          <w:szCs w:val="24"/>
        </w:rPr>
      </w:pPr>
      <w:r>
        <w:rPr>
          <w:rFonts w:hint="eastAsia" w:ascii="宋体"/>
          <w:sz w:val="24"/>
          <w:szCs w:val="24"/>
        </w:rPr>
        <w:t>规章制度是实验系统中规范师生行为的准则。在文件制定中结合本校实际，拟定实施方案。出台意见征集稿，回收意见后形成上会讨论初稿，经校长办公会讨论后下发执行。坚持“安全第一，预防为主”和“谁主管谁负责”的原则。学校定期对实验室安全和设备管理工作执行情况进行检查。实验室设一名兼职安全员，具体负责安全工作，对不符合规定的操作或不利于安全的因素进行监督，有权停止有碍安全的操作。实验室使用制度张挂在明显地方，严格贯彻执行。逢重大节假日进行安全检查，发现问题及时纠正。对实验室设备管理制定严格的操作规程和相应的安全保护措施。实验室安规做好通风排气工作，有毒药品的使用严格按规定操作。对易燃、易爆和剧毒等危险品，按规定存放，并妥善保管，领用时必须经保管老师批准，采取可靠的安全防范措施，剩余部分立即放回，并做好详细记录。电器设备和电源线路按规定装设，禁止超负荷用电。实验教师较好的学习和掌握了实验室伤害救护常识，能在突发事故中做好急救工作。</w:t>
      </w:r>
      <w:bookmarkStart w:id="0" w:name="_Toc308515047"/>
      <w:bookmarkStart w:id="1" w:name="_Toc308528369"/>
      <w:bookmarkStart w:id="2" w:name="_Toc308530277"/>
      <w:bookmarkStart w:id="3" w:name="_Toc29339"/>
      <w:bookmarkStart w:id="4" w:name="_Toc9045"/>
      <w:bookmarkStart w:id="5" w:name="_Toc19088"/>
      <w:bookmarkStart w:id="6" w:name="_Toc2082"/>
    </w:p>
    <w:sdt>
      <w:sdtPr>
        <w:rPr>
          <w:rFonts w:ascii="Calibri" w:hAnsi="Calibri" w:eastAsia="宋体" w:cs="宋体"/>
          <w:b w:val="0"/>
          <w:bCs w:val="0"/>
          <w:color w:val="auto"/>
          <w:kern w:val="2"/>
          <w:lang w:val="zh-CN"/>
        </w:rPr>
        <w:id w:val="1211844216"/>
        <w:docPartObj>
          <w:docPartGallery w:val="Table of Contents"/>
          <w:docPartUnique/>
        </w:docPartObj>
      </w:sdtPr>
      <w:sdtEndPr>
        <w:rPr>
          <w:rFonts w:ascii="Calibri" w:hAnsi="Calibri" w:eastAsia="宋体" w:cs="宋体"/>
          <w:b w:val="0"/>
          <w:bCs w:val="0"/>
          <w:color w:val="auto"/>
          <w:kern w:val="2"/>
          <w:lang w:val="zh-CN"/>
        </w:rPr>
      </w:sdtEndPr>
      <w:sdtContent>
        <w:p>
          <w:pPr>
            <w:pStyle w:val="30"/>
            <w:jc w:val="center"/>
            <w:rPr>
              <w:rFonts w:ascii="黑体" w:hAnsi="黑体" w:eastAsia="黑体"/>
              <w:b w:val="0"/>
              <w:color w:val="auto"/>
              <w:sz w:val="44"/>
              <w:szCs w:val="44"/>
            </w:rPr>
          </w:pPr>
          <w:r>
            <w:rPr>
              <w:rFonts w:ascii="黑体" w:hAnsi="黑体" w:eastAsia="黑体"/>
              <w:b w:val="0"/>
              <w:color w:val="auto"/>
              <w:sz w:val="44"/>
              <w:szCs w:val="44"/>
              <w:lang w:val="zh-CN"/>
            </w:rPr>
            <w:t>目录</w:t>
          </w:r>
        </w:p>
        <w:p>
          <w:pPr>
            <w:pStyle w:val="11"/>
            <w:tabs>
              <w:tab w:val="right" w:leader="dot" w:pos="8722"/>
            </w:tabs>
            <w:spacing w:line="360" w:lineRule="auto"/>
            <w:rPr>
              <w:rFonts w:asciiTheme="minorHAnsi" w:hAnsiTheme="minorHAnsi" w:eastAsiaTheme="minorEastAsia" w:cstheme="minorBidi"/>
              <w:sz w:val="24"/>
              <w:szCs w:val="24"/>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"_Toc46402428" </w:instrText>
          </w:r>
          <w:r>
            <w:fldChar w:fldCharType="separate"/>
          </w:r>
          <w:r>
            <w:rPr>
              <w:rStyle w:val="17"/>
              <w:rFonts w:hint="eastAsia" w:ascii="黑体" w:hAnsi="黑体"/>
              <w:sz w:val="24"/>
              <w:szCs w:val="24"/>
            </w:rPr>
            <w:t>●</w:t>
          </w:r>
          <w:r>
            <w:rPr>
              <w:rStyle w:val="17"/>
              <w:rFonts w:hint="eastAsia"/>
              <w:sz w:val="24"/>
              <w:szCs w:val="24"/>
            </w:rPr>
            <w:t>实验室管理篇</w:t>
          </w:r>
          <w:r>
            <w:rPr>
              <w:sz w:val="24"/>
              <w:szCs w:val="24"/>
            </w:rPr>
            <w:tab/>
          </w:r>
          <w:r>
            <w:rPr>
              <w:sz w:val="24"/>
              <w:szCs w:val="24"/>
            </w:rPr>
            <w:fldChar w:fldCharType="begin"/>
          </w:r>
          <w:r>
            <w:rPr>
              <w:sz w:val="24"/>
              <w:szCs w:val="24"/>
            </w:rPr>
            <w:instrText xml:space="preserve"> PAGEREF _Toc46402428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"_Toc46402429" </w:instrText>
          </w:r>
          <w:r>
            <w:fldChar w:fldCharType="separate"/>
          </w:r>
          <w:r>
            <w:rPr>
              <w:rStyle w:val="17"/>
              <w:rFonts w:hint="eastAsia"/>
              <w:sz w:val="24"/>
              <w:szCs w:val="24"/>
            </w:rPr>
            <w:t>衢州学院实验室管理办法</w:t>
          </w:r>
          <w:r>
            <w:rPr>
              <w:sz w:val="24"/>
              <w:szCs w:val="24"/>
            </w:rPr>
            <w:tab/>
          </w:r>
          <w:r>
            <w:rPr>
              <w:sz w:val="24"/>
              <w:szCs w:val="24"/>
            </w:rPr>
            <w:fldChar w:fldCharType="begin"/>
          </w:r>
          <w:r>
            <w:rPr>
              <w:sz w:val="24"/>
              <w:szCs w:val="24"/>
            </w:rPr>
            <w:instrText xml:space="preserve"> PAGEREF _Toc46402429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"_Toc46402430" </w:instrText>
          </w:r>
          <w:r>
            <w:fldChar w:fldCharType="separate"/>
          </w:r>
          <w:r>
            <w:rPr>
              <w:rStyle w:val="17"/>
              <w:rFonts w:hint="eastAsia"/>
              <w:sz w:val="24"/>
              <w:szCs w:val="24"/>
            </w:rPr>
            <w:t>衢州学院实验室安全管理办法</w:t>
          </w:r>
          <w:r>
            <w:rPr>
              <w:sz w:val="24"/>
              <w:szCs w:val="24"/>
            </w:rPr>
            <w:tab/>
          </w:r>
          <w:r>
            <w:rPr>
              <w:sz w:val="24"/>
              <w:szCs w:val="24"/>
            </w:rPr>
            <w:fldChar w:fldCharType="begin"/>
          </w:r>
          <w:r>
            <w:rPr>
              <w:sz w:val="24"/>
              <w:szCs w:val="24"/>
            </w:rPr>
            <w:instrText xml:space="preserve"> PAGEREF _Toc46402430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"_Toc46402431" </w:instrText>
          </w:r>
          <w:r>
            <w:fldChar w:fldCharType="separate"/>
          </w:r>
          <w:r>
            <w:rPr>
              <w:rStyle w:val="17"/>
              <w:rFonts w:hint="eastAsia"/>
              <w:sz w:val="24"/>
              <w:szCs w:val="24"/>
            </w:rPr>
            <w:t>衢州学院实验室突发安全事故应急预案</w:t>
          </w:r>
          <w:r>
            <w:rPr>
              <w:sz w:val="24"/>
              <w:szCs w:val="24"/>
            </w:rPr>
            <w:tab/>
          </w:r>
          <w:r>
            <w:rPr>
              <w:sz w:val="24"/>
              <w:szCs w:val="24"/>
            </w:rPr>
            <w:fldChar w:fldCharType="begin"/>
          </w:r>
          <w:r>
            <w:rPr>
              <w:sz w:val="24"/>
              <w:szCs w:val="24"/>
            </w:rPr>
            <w:instrText xml:space="preserve"> PAGEREF _Toc46402431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"_Toc46402432" </w:instrText>
          </w:r>
          <w:r>
            <w:fldChar w:fldCharType="separate"/>
          </w:r>
          <w:r>
            <w:rPr>
              <w:rStyle w:val="17"/>
              <w:rFonts w:hint="eastAsia"/>
              <w:sz w:val="24"/>
              <w:szCs w:val="24"/>
            </w:rPr>
            <w:t>衢州学院化学危险品安全管理办法</w:t>
          </w:r>
          <w:r>
            <w:rPr>
              <w:sz w:val="24"/>
              <w:szCs w:val="24"/>
            </w:rPr>
            <w:tab/>
          </w:r>
          <w:r>
            <w:rPr>
              <w:sz w:val="24"/>
              <w:szCs w:val="24"/>
            </w:rPr>
            <w:fldChar w:fldCharType="begin"/>
          </w:r>
          <w:r>
            <w:rPr>
              <w:sz w:val="24"/>
              <w:szCs w:val="24"/>
            </w:rPr>
            <w:instrText xml:space="preserve"> PAGEREF _Toc46402432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"_Toc46402433" </w:instrText>
          </w:r>
          <w:r>
            <w:fldChar w:fldCharType="separate"/>
          </w:r>
          <w:r>
            <w:rPr>
              <w:rStyle w:val="17"/>
              <w:rFonts w:hint="eastAsia"/>
              <w:sz w:val="24"/>
              <w:szCs w:val="24"/>
            </w:rPr>
            <w:t>衢州学院实验室建设项目暂行管理办法</w:t>
          </w:r>
          <w:r>
            <w:rPr>
              <w:sz w:val="24"/>
              <w:szCs w:val="24"/>
            </w:rPr>
            <w:tab/>
          </w:r>
          <w:r>
            <w:rPr>
              <w:sz w:val="24"/>
              <w:szCs w:val="24"/>
            </w:rPr>
            <w:fldChar w:fldCharType="begin"/>
          </w:r>
          <w:r>
            <w:rPr>
              <w:sz w:val="24"/>
              <w:szCs w:val="24"/>
            </w:rPr>
            <w:instrText xml:space="preserve"> PAGEREF _Toc46402433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"_Toc46402434" </w:instrText>
          </w:r>
          <w:r>
            <w:fldChar w:fldCharType="separate"/>
          </w:r>
          <w:r>
            <w:rPr>
              <w:rStyle w:val="17"/>
              <w:rFonts w:hint="eastAsia"/>
              <w:sz w:val="24"/>
              <w:szCs w:val="24"/>
            </w:rPr>
            <w:t>衢州学院实验室工作档案管理制度</w:t>
          </w:r>
          <w:r>
            <w:rPr>
              <w:sz w:val="24"/>
              <w:szCs w:val="24"/>
            </w:rPr>
            <w:tab/>
          </w:r>
          <w:r>
            <w:rPr>
              <w:sz w:val="24"/>
              <w:szCs w:val="24"/>
            </w:rPr>
            <w:fldChar w:fldCharType="begin"/>
          </w:r>
          <w:r>
            <w:rPr>
              <w:sz w:val="24"/>
              <w:szCs w:val="24"/>
            </w:rPr>
            <w:instrText xml:space="preserve"> PAGEREF _Toc46402434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"_Toc46402435" </w:instrText>
          </w:r>
          <w:r>
            <w:fldChar w:fldCharType="separate"/>
          </w:r>
          <w:r>
            <w:rPr>
              <w:rStyle w:val="17"/>
              <w:rFonts w:hint="eastAsia"/>
              <w:sz w:val="24"/>
              <w:szCs w:val="24"/>
            </w:rPr>
            <w:t>衢州学院“十三五”实验室和实训基地建设规划</w:t>
          </w:r>
          <w:r>
            <w:rPr>
              <w:sz w:val="24"/>
              <w:szCs w:val="24"/>
            </w:rPr>
            <w:tab/>
          </w:r>
          <w:r>
            <w:rPr>
              <w:sz w:val="24"/>
              <w:szCs w:val="24"/>
            </w:rPr>
            <w:fldChar w:fldCharType="begin"/>
          </w:r>
          <w:r>
            <w:rPr>
              <w:sz w:val="24"/>
              <w:szCs w:val="24"/>
            </w:rPr>
            <w:instrText xml:space="preserve"> PAGEREF _Toc46402435 \h </w:instrText>
          </w:r>
          <w:r>
            <w:rPr>
              <w:sz w:val="24"/>
              <w:szCs w:val="24"/>
            </w:rPr>
            <w:fldChar w:fldCharType="separate"/>
          </w:r>
          <w:r>
            <w:rPr>
              <w:sz w:val="24"/>
              <w:szCs w:val="24"/>
            </w:rPr>
            <w:t>52</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"_Toc46402436" </w:instrText>
          </w:r>
          <w:r>
            <w:fldChar w:fldCharType="separate"/>
          </w:r>
          <w:r>
            <w:rPr>
              <w:rStyle w:val="17"/>
              <w:rFonts w:hint="eastAsia"/>
              <w:sz w:val="24"/>
              <w:szCs w:val="24"/>
            </w:rPr>
            <w:t>衢州学院实验室废弃物处置管理暂行办法</w:t>
          </w:r>
          <w:r>
            <w:rPr>
              <w:sz w:val="24"/>
              <w:szCs w:val="24"/>
            </w:rPr>
            <w:tab/>
          </w:r>
          <w:r>
            <w:rPr>
              <w:sz w:val="24"/>
              <w:szCs w:val="24"/>
            </w:rPr>
            <w:fldChar w:fldCharType="begin"/>
          </w:r>
          <w:r>
            <w:rPr>
              <w:sz w:val="24"/>
              <w:szCs w:val="24"/>
            </w:rPr>
            <w:instrText xml:space="preserve"> PAGEREF _Toc46402436 \h </w:instrText>
          </w:r>
          <w:r>
            <w:rPr>
              <w:sz w:val="24"/>
              <w:szCs w:val="24"/>
            </w:rPr>
            <w:fldChar w:fldCharType="separate"/>
          </w:r>
          <w:r>
            <w:rPr>
              <w:sz w:val="24"/>
              <w:szCs w:val="24"/>
            </w:rPr>
            <w:t>60</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"_Toc46402437" </w:instrText>
          </w:r>
          <w:r>
            <w:fldChar w:fldCharType="separate"/>
          </w:r>
          <w:r>
            <w:rPr>
              <w:rStyle w:val="17"/>
              <w:rFonts w:hint="eastAsia"/>
              <w:sz w:val="24"/>
              <w:szCs w:val="24"/>
            </w:rPr>
            <w:t>衢州学院危险化学品安全管理办法</w:t>
          </w:r>
          <w:r>
            <w:rPr>
              <w:rStyle w:val="17"/>
              <w:sz w:val="24"/>
              <w:szCs w:val="24"/>
            </w:rPr>
            <w:t>(</w:t>
          </w:r>
          <w:r>
            <w:rPr>
              <w:rStyle w:val="17"/>
              <w:rFonts w:hint="eastAsia"/>
              <w:sz w:val="24"/>
              <w:szCs w:val="24"/>
            </w:rPr>
            <w:t>修订</w:t>
          </w:r>
          <w:r>
            <w:rPr>
              <w:rStyle w:val="17"/>
              <w:sz w:val="24"/>
              <w:szCs w:val="24"/>
            </w:rPr>
            <w:t>)</w:t>
          </w:r>
          <w:r>
            <w:rPr>
              <w:sz w:val="24"/>
              <w:szCs w:val="24"/>
            </w:rPr>
            <w:tab/>
          </w:r>
          <w:r>
            <w:rPr>
              <w:sz w:val="24"/>
              <w:szCs w:val="24"/>
            </w:rPr>
            <w:fldChar w:fldCharType="begin"/>
          </w:r>
          <w:r>
            <w:rPr>
              <w:sz w:val="24"/>
              <w:szCs w:val="24"/>
            </w:rPr>
            <w:instrText xml:space="preserve"> PAGEREF _Toc46402437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"_Toc46402438" </w:instrText>
          </w:r>
          <w:r>
            <w:fldChar w:fldCharType="separate"/>
          </w:r>
          <w:r>
            <w:rPr>
              <w:rStyle w:val="17"/>
              <w:rFonts w:hint="eastAsia"/>
              <w:sz w:val="24"/>
              <w:szCs w:val="24"/>
            </w:rPr>
            <w:t>衢州学院实验室安全检查制度</w:t>
          </w:r>
          <w:r>
            <w:rPr>
              <w:sz w:val="24"/>
              <w:szCs w:val="24"/>
            </w:rPr>
            <w:tab/>
          </w:r>
          <w:r>
            <w:rPr>
              <w:sz w:val="24"/>
              <w:szCs w:val="24"/>
            </w:rPr>
            <w:fldChar w:fldCharType="begin"/>
          </w:r>
          <w:r>
            <w:rPr>
              <w:sz w:val="24"/>
              <w:szCs w:val="24"/>
            </w:rPr>
            <w:instrText xml:space="preserve"> PAGEREF _Toc46402438 \h </w:instrText>
          </w:r>
          <w:r>
            <w:rPr>
              <w:sz w:val="24"/>
              <w:szCs w:val="24"/>
            </w:rPr>
            <w:fldChar w:fldCharType="separate"/>
          </w:r>
          <w:r>
            <w:rPr>
              <w:sz w:val="24"/>
              <w:szCs w:val="24"/>
            </w:rPr>
            <w:t>73</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"_Toc46402439" </w:instrText>
          </w:r>
          <w:r>
            <w:fldChar w:fldCharType="separate"/>
          </w:r>
          <w:r>
            <w:rPr>
              <w:rStyle w:val="17"/>
              <w:rFonts w:hint="eastAsia"/>
              <w:sz w:val="24"/>
              <w:szCs w:val="24"/>
            </w:rPr>
            <w:t>衢州学院实验室安全责任追究暂行办法</w:t>
          </w:r>
          <w:r>
            <w:rPr>
              <w:sz w:val="24"/>
              <w:szCs w:val="24"/>
            </w:rPr>
            <w:tab/>
          </w:r>
          <w:r>
            <w:rPr>
              <w:sz w:val="24"/>
              <w:szCs w:val="24"/>
            </w:rPr>
            <w:fldChar w:fldCharType="begin"/>
          </w:r>
          <w:r>
            <w:rPr>
              <w:sz w:val="24"/>
              <w:szCs w:val="24"/>
            </w:rPr>
            <w:instrText xml:space="preserve"> PAGEREF _Toc46402439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"_Toc46402440" </w:instrText>
          </w:r>
          <w:r>
            <w:fldChar w:fldCharType="separate"/>
          </w:r>
          <w:r>
            <w:rPr>
              <w:rStyle w:val="17"/>
              <w:rFonts w:hint="eastAsia" w:ascii="黑体" w:hAnsi="黑体"/>
              <w:sz w:val="24"/>
              <w:szCs w:val="24"/>
            </w:rPr>
            <w:t>●</w:t>
          </w:r>
          <w:r>
            <w:rPr>
              <w:rStyle w:val="17"/>
              <w:rFonts w:hint="eastAsia"/>
              <w:sz w:val="24"/>
              <w:szCs w:val="24"/>
            </w:rPr>
            <w:t>仪器设备管理篇</w:t>
          </w:r>
          <w:r>
            <w:rPr>
              <w:sz w:val="24"/>
              <w:szCs w:val="24"/>
            </w:rPr>
            <w:tab/>
          </w:r>
          <w:r>
            <w:rPr>
              <w:sz w:val="24"/>
              <w:szCs w:val="24"/>
            </w:rPr>
            <w:fldChar w:fldCharType="begin"/>
          </w:r>
          <w:r>
            <w:rPr>
              <w:sz w:val="24"/>
              <w:szCs w:val="24"/>
            </w:rPr>
            <w:instrText xml:space="preserve"> PAGEREF _Toc46402440 \h </w:instrText>
          </w:r>
          <w:r>
            <w:rPr>
              <w:sz w:val="24"/>
              <w:szCs w:val="24"/>
            </w:rPr>
            <w:fldChar w:fldCharType="separate"/>
          </w:r>
          <w:r>
            <w:rPr>
              <w:sz w:val="24"/>
              <w:szCs w:val="24"/>
            </w:rPr>
            <w:t>83</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"_Toc46402441" </w:instrText>
          </w:r>
          <w:r>
            <w:fldChar w:fldCharType="separate"/>
          </w:r>
          <w:r>
            <w:rPr>
              <w:rStyle w:val="17"/>
              <w:rFonts w:hint="eastAsia"/>
              <w:sz w:val="24"/>
              <w:szCs w:val="24"/>
            </w:rPr>
            <w:t>衢州学院国有资产管理暂行办法</w:t>
          </w:r>
          <w:r>
            <w:rPr>
              <w:sz w:val="24"/>
              <w:szCs w:val="24"/>
            </w:rPr>
            <w:tab/>
          </w:r>
          <w:r>
            <w:rPr>
              <w:sz w:val="24"/>
              <w:szCs w:val="24"/>
            </w:rPr>
            <w:fldChar w:fldCharType="begin"/>
          </w:r>
          <w:r>
            <w:rPr>
              <w:sz w:val="24"/>
              <w:szCs w:val="24"/>
            </w:rPr>
            <w:instrText xml:space="preserve"> PAGEREF _Toc46402441 \h </w:instrText>
          </w:r>
          <w:r>
            <w:rPr>
              <w:sz w:val="24"/>
              <w:szCs w:val="24"/>
            </w:rPr>
            <w:fldChar w:fldCharType="separate"/>
          </w:r>
          <w:r>
            <w:rPr>
              <w:sz w:val="24"/>
              <w:szCs w:val="24"/>
            </w:rPr>
            <w:t>83</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"_Toc46402442" </w:instrText>
          </w:r>
          <w:r>
            <w:fldChar w:fldCharType="separate"/>
          </w:r>
          <w:r>
            <w:rPr>
              <w:rStyle w:val="17"/>
              <w:rFonts w:hint="eastAsia"/>
              <w:sz w:val="24"/>
              <w:szCs w:val="24"/>
            </w:rPr>
            <w:t>衢州学院采购与招标管理实施办法</w:t>
          </w:r>
          <w:r>
            <w:rPr>
              <w:sz w:val="24"/>
              <w:szCs w:val="24"/>
            </w:rPr>
            <w:tab/>
          </w:r>
          <w:r>
            <w:rPr>
              <w:sz w:val="24"/>
              <w:szCs w:val="24"/>
            </w:rPr>
            <w:fldChar w:fldCharType="begin"/>
          </w:r>
          <w:r>
            <w:rPr>
              <w:sz w:val="24"/>
              <w:szCs w:val="24"/>
            </w:rPr>
            <w:instrText xml:space="preserve"> PAGEREF _Toc46402442 \h </w:instrText>
          </w:r>
          <w:r>
            <w:rPr>
              <w:sz w:val="24"/>
              <w:szCs w:val="24"/>
            </w:rPr>
            <w:fldChar w:fldCharType="separate"/>
          </w:r>
          <w:r>
            <w:rPr>
              <w:sz w:val="24"/>
              <w:szCs w:val="24"/>
            </w:rPr>
            <w:t>91</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"_Toc46402443" </w:instrText>
          </w:r>
          <w:r>
            <w:fldChar w:fldCharType="separate"/>
          </w:r>
          <w:r>
            <w:rPr>
              <w:rStyle w:val="17"/>
              <w:rFonts w:hint="eastAsia"/>
              <w:sz w:val="24"/>
              <w:szCs w:val="24"/>
            </w:rPr>
            <w:t>衢州学院仪器设备管理办法</w:t>
          </w:r>
          <w:r>
            <w:rPr>
              <w:sz w:val="24"/>
              <w:szCs w:val="24"/>
            </w:rPr>
            <w:tab/>
          </w:r>
          <w:r>
            <w:rPr>
              <w:sz w:val="24"/>
              <w:szCs w:val="24"/>
            </w:rPr>
            <w:fldChar w:fldCharType="begin"/>
          </w:r>
          <w:r>
            <w:rPr>
              <w:sz w:val="24"/>
              <w:szCs w:val="24"/>
            </w:rPr>
            <w:instrText xml:space="preserve"> PAGEREF _Toc46402443 \h </w:instrText>
          </w:r>
          <w:r>
            <w:rPr>
              <w:sz w:val="24"/>
              <w:szCs w:val="24"/>
            </w:rPr>
            <w:fldChar w:fldCharType="separate"/>
          </w:r>
          <w:r>
            <w:rPr>
              <w:sz w:val="24"/>
              <w:szCs w:val="24"/>
            </w:rPr>
            <w:t>104</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"_Toc46402444" </w:instrText>
          </w:r>
          <w:r>
            <w:fldChar w:fldCharType="separate"/>
          </w:r>
          <w:r>
            <w:rPr>
              <w:rStyle w:val="17"/>
              <w:rFonts w:hint="eastAsia"/>
              <w:sz w:val="24"/>
              <w:szCs w:val="24"/>
            </w:rPr>
            <w:t>衢州学院低值耐用品、材料、易耗品管理办法</w:t>
          </w:r>
          <w:r>
            <w:rPr>
              <w:sz w:val="24"/>
              <w:szCs w:val="24"/>
            </w:rPr>
            <w:tab/>
          </w:r>
          <w:r>
            <w:rPr>
              <w:sz w:val="24"/>
              <w:szCs w:val="24"/>
            </w:rPr>
            <w:fldChar w:fldCharType="begin"/>
          </w:r>
          <w:r>
            <w:rPr>
              <w:sz w:val="24"/>
              <w:szCs w:val="24"/>
            </w:rPr>
            <w:instrText xml:space="preserve"> PAGEREF _Toc46402444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"_Toc46402445" </w:instrText>
          </w:r>
          <w:r>
            <w:fldChar w:fldCharType="separate"/>
          </w:r>
          <w:r>
            <w:rPr>
              <w:rStyle w:val="17"/>
              <w:rFonts w:hint="eastAsia"/>
              <w:sz w:val="24"/>
              <w:szCs w:val="24"/>
            </w:rPr>
            <w:t>衢州学院大型仪器设备管理办法</w:t>
          </w:r>
          <w:r>
            <w:rPr>
              <w:sz w:val="24"/>
              <w:szCs w:val="24"/>
            </w:rPr>
            <w:tab/>
          </w:r>
          <w:r>
            <w:rPr>
              <w:sz w:val="24"/>
              <w:szCs w:val="24"/>
            </w:rPr>
            <w:fldChar w:fldCharType="begin"/>
          </w:r>
          <w:r>
            <w:rPr>
              <w:sz w:val="24"/>
              <w:szCs w:val="24"/>
            </w:rPr>
            <w:instrText xml:space="preserve"> PAGEREF _Toc46402445 \h </w:instrText>
          </w:r>
          <w:r>
            <w:rPr>
              <w:sz w:val="24"/>
              <w:szCs w:val="24"/>
            </w:rPr>
            <w:fldChar w:fldCharType="separate"/>
          </w:r>
          <w:r>
            <w:rPr>
              <w:sz w:val="24"/>
              <w:szCs w:val="24"/>
            </w:rPr>
            <w:t>111</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"_Toc46402446" </w:instrText>
          </w:r>
          <w:r>
            <w:fldChar w:fldCharType="separate"/>
          </w:r>
          <w:r>
            <w:rPr>
              <w:rStyle w:val="17"/>
              <w:rFonts w:hint="eastAsia"/>
              <w:sz w:val="24"/>
              <w:szCs w:val="24"/>
            </w:rPr>
            <w:t>衢州学院特种设备安全管理办法</w:t>
          </w:r>
          <w:r>
            <w:rPr>
              <w:sz w:val="24"/>
              <w:szCs w:val="24"/>
            </w:rPr>
            <w:tab/>
          </w:r>
          <w:r>
            <w:rPr>
              <w:sz w:val="24"/>
              <w:szCs w:val="24"/>
            </w:rPr>
            <w:fldChar w:fldCharType="begin"/>
          </w:r>
          <w:r>
            <w:rPr>
              <w:sz w:val="24"/>
              <w:szCs w:val="24"/>
            </w:rPr>
            <w:instrText xml:space="preserve"> PAGEREF _Toc46402446 \h </w:instrText>
          </w:r>
          <w:r>
            <w:rPr>
              <w:sz w:val="24"/>
              <w:szCs w:val="24"/>
            </w:rPr>
            <w:fldChar w:fldCharType="separate"/>
          </w:r>
          <w:r>
            <w:rPr>
              <w:sz w:val="24"/>
              <w:szCs w:val="24"/>
            </w:rPr>
            <w:t>114</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"_Toc46402447" </w:instrText>
          </w:r>
          <w:r>
            <w:fldChar w:fldCharType="separate"/>
          </w:r>
          <w:r>
            <w:rPr>
              <w:rStyle w:val="17"/>
              <w:rFonts w:hint="eastAsia"/>
              <w:sz w:val="24"/>
              <w:szCs w:val="24"/>
            </w:rPr>
            <w:t>衢州学院仪器设备维修管理办法</w:t>
          </w:r>
          <w:r>
            <w:rPr>
              <w:sz w:val="24"/>
              <w:szCs w:val="24"/>
            </w:rPr>
            <w:tab/>
          </w:r>
          <w:r>
            <w:rPr>
              <w:sz w:val="24"/>
              <w:szCs w:val="24"/>
            </w:rPr>
            <w:fldChar w:fldCharType="begin"/>
          </w:r>
          <w:r>
            <w:rPr>
              <w:sz w:val="24"/>
              <w:szCs w:val="24"/>
            </w:rPr>
            <w:instrText xml:space="preserve"> PAGEREF _Toc46402447 \h </w:instrText>
          </w:r>
          <w:r>
            <w:rPr>
              <w:sz w:val="24"/>
              <w:szCs w:val="24"/>
            </w:rPr>
            <w:fldChar w:fldCharType="separate"/>
          </w:r>
          <w:r>
            <w:rPr>
              <w:sz w:val="24"/>
              <w:szCs w:val="24"/>
            </w:rPr>
            <w:t>117</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"_Toc46402448" </w:instrText>
          </w:r>
          <w:r>
            <w:fldChar w:fldCharType="separate"/>
          </w:r>
          <w:r>
            <w:rPr>
              <w:rStyle w:val="17"/>
              <w:rFonts w:hint="eastAsia"/>
              <w:sz w:val="24"/>
              <w:szCs w:val="24"/>
            </w:rPr>
            <w:t>衢州学院仪器设备损坏、丢失赔偿办法</w:t>
          </w:r>
          <w:r>
            <w:rPr>
              <w:sz w:val="24"/>
              <w:szCs w:val="24"/>
            </w:rPr>
            <w:tab/>
          </w:r>
          <w:r>
            <w:rPr>
              <w:sz w:val="24"/>
              <w:szCs w:val="24"/>
            </w:rPr>
            <w:fldChar w:fldCharType="begin"/>
          </w:r>
          <w:r>
            <w:rPr>
              <w:sz w:val="24"/>
              <w:szCs w:val="24"/>
            </w:rPr>
            <w:instrText xml:space="preserve"> PAGEREF _Toc46402448 \h </w:instrText>
          </w:r>
          <w:r>
            <w:rPr>
              <w:sz w:val="24"/>
              <w:szCs w:val="24"/>
            </w:rPr>
            <w:fldChar w:fldCharType="separate"/>
          </w:r>
          <w:r>
            <w:rPr>
              <w:sz w:val="24"/>
              <w:szCs w:val="24"/>
            </w:rPr>
            <w:t>119</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"_Toc46402449" </w:instrText>
          </w:r>
          <w:r>
            <w:fldChar w:fldCharType="separate"/>
          </w:r>
          <w:r>
            <w:rPr>
              <w:rStyle w:val="17"/>
              <w:rFonts w:hint="eastAsia"/>
              <w:sz w:val="24"/>
              <w:szCs w:val="24"/>
            </w:rPr>
            <w:t>衢州学院采购评审专家管理暂行办法</w:t>
          </w:r>
          <w:r>
            <w:rPr>
              <w:sz w:val="24"/>
              <w:szCs w:val="24"/>
            </w:rPr>
            <w:tab/>
          </w:r>
          <w:r>
            <w:rPr>
              <w:sz w:val="24"/>
              <w:szCs w:val="24"/>
            </w:rPr>
            <w:fldChar w:fldCharType="begin"/>
          </w:r>
          <w:r>
            <w:rPr>
              <w:sz w:val="24"/>
              <w:szCs w:val="24"/>
            </w:rPr>
            <w:instrText xml:space="preserve"> PAGEREF _Toc46402449 \h </w:instrText>
          </w:r>
          <w:r>
            <w:rPr>
              <w:sz w:val="24"/>
              <w:szCs w:val="24"/>
            </w:rPr>
            <w:fldChar w:fldCharType="separate"/>
          </w:r>
          <w:r>
            <w:rPr>
              <w:sz w:val="24"/>
              <w:szCs w:val="24"/>
            </w:rPr>
            <w:t>121</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4"/>
              <w:szCs w:val="24"/>
            </w:rPr>
          </w:pPr>
          <w:r>
            <w:fldChar w:fldCharType="begin"/>
          </w:r>
          <w:r>
            <w:instrText xml:space="preserve"> HYPERLINK \l "_Toc46402450" </w:instrText>
          </w:r>
          <w:r>
            <w:fldChar w:fldCharType="separate"/>
          </w:r>
          <w:r>
            <w:rPr>
              <w:rStyle w:val="17"/>
              <w:rFonts w:hint="eastAsia"/>
              <w:sz w:val="24"/>
              <w:szCs w:val="24"/>
            </w:rPr>
            <w:t>衢州学院大型仪器设备开放服务管理办法</w:t>
          </w:r>
          <w:r>
            <w:rPr>
              <w:rStyle w:val="17"/>
              <w:sz w:val="24"/>
              <w:szCs w:val="24"/>
            </w:rPr>
            <w:t>(</w:t>
          </w:r>
          <w:r>
            <w:rPr>
              <w:rStyle w:val="17"/>
              <w:rFonts w:hint="eastAsia"/>
              <w:sz w:val="24"/>
              <w:szCs w:val="24"/>
            </w:rPr>
            <w:t>试行</w:t>
          </w:r>
          <w:r>
            <w:rPr>
              <w:rStyle w:val="17"/>
              <w:sz w:val="24"/>
              <w:szCs w:val="24"/>
            </w:rPr>
            <w:t>)</w:t>
          </w:r>
          <w:r>
            <w:rPr>
              <w:sz w:val="24"/>
              <w:szCs w:val="24"/>
            </w:rPr>
            <w:tab/>
          </w:r>
          <w:r>
            <w:rPr>
              <w:sz w:val="24"/>
              <w:szCs w:val="24"/>
            </w:rPr>
            <w:fldChar w:fldCharType="begin"/>
          </w:r>
          <w:r>
            <w:rPr>
              <w:sz w:val="24"/>
              <w:szCs w:val="24"/>
            </w:rPr>
            <w:instrText xml:space="preserve"> PAGEREF _Toc46402450 \h </w:instrText>
          </w:r>
          <w:r>
            <w:rPr>
              <w:sz w:val="24"/>
              <w:szCs w:val="24"/>
            </w:rPr>
            <w:fldChar w:fldCharType="separate"/>
          </w:r>
          <w:r>
            <w:rPr>
              <w:sz w:val="24"/>
              <w:szCs w:val="24"/>
            </w:rPr>
            <w:t>126</w:t>
          </w:r>
          <w:r>
            <w:rPr>
              <w:sz w:val="24"/>
              <w:szCs w:val="24"/>
            </w:rPr>
            <w:fldChar w:fldCharType="end"/>
          </w:r>
          <w:r>
            <w:rPr>
              <w:sz w:val="24"/>
              <w:szCs w:val="24"/>
            </w:rPr>
            <w:fldChar w:fldCharType="end"/>
          </w:r>
        </w:p>
        <w:p>
          <w:pPr>
            <w:pStyle w:val="11"/>
            <w:tabs>
              <w:tab w:val="right" w:leader="dot" w:pos="8722"/>
            </w:tabs>
            <w:spacing w:line="360" w:lineRule="auto"/>
            <w:rPr>
              <w:rFonts w:asciiTheme="minorHAnsi" w:hAnsiTheme="minorHAnsi" w:eastAsiaTheme="minorEastAsia" w:cstheme="minorBidi"/>
              <w:sz w:val="21"/>
              <w:szCs w:val="22"/>
            </w:rPr>
          </w:pPr>
          <w:r>
            <w:fldChar w:fldCharType="begin"/>
          </w:r>
          <w:r>
            <w:instrText xml:space="preserve"> HYPERLINK \l "_Toc46402451" </w:instrText>
          </w:r>
          <w:r>
            <w:fldChar w:fldCharType="separate"/>
          </w:r>
          <w:r>
            <w:rPr>
              <w:rStyle w:val="17"/>
              <w:rFonts w:hint="eastAsia"/>
              <w:sz w:val="24"/>
              <w:szCs w:val="24"/>
            </w:rPr>
            <w:t>衢州学院大型仪器设备使用绩效考核办法（修订）</w:t>
          </w:r>
          <w:r>
            <w:rPr>
              <w:sz w:val="24"/>
              <w:szCs w:val="24"/>
            </w:rPr>
            <w:tab/>
          </w:r>
          <w:r>
            <w:rPr>
              <w:sz w:val="24"/>
              <w:szCs w:val="24"/>
            </w:rPr>
            <w:fldChar w:fldCharType="begin"/>
          </w:r>
          <w:r>
            <w:rPr>
              <w:sz w:val="24"/>
              <w:szCs w:val="24"/>
            </w:rPr>
            <w:instrText xml:space="preserve"> PAGEREF _Toc46402451 \h </w:instrText>
          </w:r>
          <w:r>
            <w:rPr>
              <w:sz w:val="24"/>
              <w:szCs w:val="24"/>
            </w:rPr>
            <w:fldChar w:fldCharType="separate"/>
          </w:r>
          <w:r>
            <w:rPr>
              <w:sz w:val="24"/>
              <w:szCs w:val="24"/>
            </w:rPr>
            <w:t>131</w:t>
          </w:r>
          <w:r>
            <w:rPr>
              <w:sz w:val="24"/>
              <w:szCs w:val="24"/>
            </w:rPr>
            <w:fldChar w:fldCharType="end"/>
          </w:r>
          <w:r>
            <w:rPr>
              <w:sz w:val="24"/>
              <w:szCs w:val="24"/>
            </w:rPr>
            <w:fldChar w:fldCharType="end"/>
          </w:r>
        </w:p>
        <w:p>
          <w:pPr>
            <w:spacing w:line="480" w:lineRule="exact"/>
          </w:pPr>
          <w:r>
            <w:rPr>
              <w:b/>
              <w:bCs/>
              <w:sz w:val="24"/>
              <w:szCs w:val="24"/>
              <w:lang w:val="zh-CN"/>
            </w:rPr>
            <w:fldChar w:fldCharType="end"/>
          </w:r>
        </w:p>
      </w:sdtContent>
    </w:sdt>
    <w:p>
      <w:pPr>
        <w:spacing w:line="560" w:lineRule="exact"/>
        <w:jc w:val="center"/>
        <w:rPr>
          <w:rFonts w:ascii="方正小标宋简体" w:hAnsi="方正小标宋简体" w:eastAsia="方正小标宋简体" w:cs="方正小标宋简体"/>
          <w:sz w:val="44"/>
          <w:szCs w:val="44"/>
        </w:rPr>
      </w:pPr>
    </w:p>
    <w:p>
      <w:pPr>
        <w:widowControl/>
        <w:spacing w:line="480" w:lineRule="exact"/>
        <w:outlineLvl w:val="0"/>
        <w:rPr>
          <w:rFonts w:ascii="黑体" w:hAnsi="黑体" w:eastAsia="黑体" w:cs="黑体"/>
          <w:bCs/>
          <w:sz w:val="44"/>
          <w:szCs w:val="44"/>
        </w:rPr>
        <w:sectPr>
          <w:headerReference r:id="rId3" w:type="default"/>
          <w:pgSz w:w="11906" w:h="16838"/>
          <w:pgMar w:top="1440" w:right="1587" w:bottom="1440" w:left="1587" w:header="851" w:footer="992" w:gutter="0"/>
          <w:pgNumType w:start="1"/>
          <w:cols w:space="720" w:num="1"/>
          <w:docGrid w:type="lines" w:linePitch="312" w:charSpace="0"/>
        </w:sectPr>
      </w:pPr>
    </w:p>
    <w:bookmarkEnd w:id="0"/>
    <w:bookmarkEnd w:id="1"/>
    <w:bookmarkEnd w:id="2"/>
    <w:bookmarkEnd w:id="3"/>
    <w:bookmarkEnd w:id="4"/>
    <w:bookmarkEnd w:id="5"/>
    <w:bookmarkEnd w:id="6"/>
    <w:p>
      <w:pPr>
        <w:pStyle w:val="2"/>
        <w:jc w:val="left"/>
        <w:rPr>
          <w:sz w:val="32"/>
          <w:szCs w:val="32"/>
        </w:rPr>
      </w:pPr>
      <w:bookmarkStart w:id="7" w:name="_Toc46402428"/>
      <w:bookmarkStart w:id="8" w:name="_Toc15310"/>
      <w:r>
        <w:rPr>
          <w:rFonts w:hint="eastAsia" w:ascii="黑体" w:hAnsi="黑体"/>
          <w:sz w:val="32"/>
          <w:szCs w:val="32"/>
        </w:rPr>
        <w:t>●</w:t>
      </w:r>
      <w:r>
        <w:rPr>
          <w:rFonts w:hint="eastAsia"/>
          <w:sz w:val="32"/>
          <w:szCs w:val="32"/>
        </w:rPr>
        <w:t>实验室管理篇</w:t>
      </w:r>
      <w:bookmarkEnd w:id="7"/>
    </w:p>
    <w:p>
      <w:pPr>
        <w:pStyle w:val="2"/>
      </w:pPr>
      <w:bookmarkStart w:id="9" w:name="_Toc46402429"/>
      <w:r>
        <w:rPr>
          <w:rFonts w:hint="eastAsia"/>
        </w:rPr>
        <w:t>衢州学院实验室管理办法</w:t>
      </w:r>
      <w:bookmarkEnd w:id="8"/>
      <w:bookmarkEnd w:id="9"/>
    </w:p>
    <w:p>
      <w:pPr>
        <w:pStyle w:val="5"/>
        <w:numPr>
          <w:ilvl w:val="0"/>
          <w:numId w:val="1"/>
        </w:numPr>
        <w:tabs>
          <w:tab w:val="left" w:pos="3150"/>
        </w:tabs>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总则</w:t>
      </w:r>
    </w:p>
    <w:p>
      <w:pPr>
        <w:pStyle w:val="5"/>
        <w:tabs>
          <w:tab w:val="left" w:pos="3150"/>
        </w:tabs>
        <w:spacing w:line="480" w:lineRule="exact"/>
        <w:rPr>
          <w:rFonts w:hAnsi="宋体" w:cs="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第一条</w:t>
      </w:r>
      <w:r>
        <w:rPr>
          <w:rFonts w:hint="eastAsia" w:ascii="宋体" w:hAnsi="宋体"/>
          <w:bCs/>
          <w:sz w:val="24"/>
          <w:szCs w:val="24"/>
        </w:rPr>
        <w:t xml:space="preserve"> 实验室是进行实验教学、科学研究和技术服务的重要基地，是办好学校的基本条件之一。为加强实验室的建设和管理，保障学校的教学质量和科学研究水平，提高办学效益，制定本条例。</w:t>
      </w:r>
    </w:p>
    <w:p>
      <w:pPr>
        <w:pStyle w:val="5"/>
        <w:spacing w:line="480" w:lineRule="exact"/>
        <w:ind w:firstLine="472" w:firstLineChars="196"/>
        <w:rPr>
          <w:rFonts w:hAnsi="宋体" w:cs="宋体"/>
          <w:bCs/>
          <w:sz w:val="24"/>
          <w:szCs w:val="24"/>
        </w:rPr>
      </w:pPr>
      <w:r>
        <w:rPr>
          <w:rFonts w:hint="eastAsia" w:hAnsi="宋体" w:cs="宋体"/>
          <w:b/>
          <w:sz w:val="24"/>
          <w:szCs w:val="24"/>
        </w:rPr>
        <w:t>第二条</w:t>
      </w:r>
      <w:r>
        <w:rPr>
          <w:rFonts w:hint="eastAsia" w:hAnsi="宋体" w:cs="宋体"/>
          <w:bCs/>
          <w:sz w:val="24"/>
          <w:szCs w:val="24"/>
        </w:rPr>
        <w:t xml:space="preserve"> 学校实验室必须贯彻国家的教育方针，要以开发学生潜能，培养创新思维，提高创新能力为教学目标，保证完成实验教学的各项任务，不断提高实验教学水平。在完成实验教学、科研任务的前提下，努力为地方经济建设和社会发展提供服务。</w:t>
      </w:r>
    </w:p>
    <w:p>
      <w:pPr>
        <w:pStyle w:val="5"/>
        <w:spacing w:line="480" w:lineRule="exact"/>
        <w:ind w:firstLine="472" w:firstLineChars="196"/>
        <w:rPr>
          <w:rFonts w:hAnsi="宋体" w:cs="宋体"/>
          <w:bCs/>
          <w:sz w:val="24"/>
          <w:szCs w:val="24"/>
        </w:rPr>
      </w:pPr>
      <w:r>
        <w:rPr>
          <w:rFonts w:hint="eastAsia" w:hAnsi="宋体" w:cs="宋体"/>
          <w:b/>
          <w:sz w:val="24"/>
          <w:szCs w:val="24"/>
        </w:rPr>
        <w:t>第三条</w:t>
      </w:r>
      <w:r>
        <w:rPr>
          <w:rFonts w:hint="eastAsia" w:hAnsi="宋体" w:cs="宋体"/>
          <w:bCs/>
          <w:sz w:val="24"/>
          <w:szCs w:val="24"/>
        </w:rPr>
        <w:t xml:space="preserve"> 实验室建设，要从学校实际出发，统筹规划，合理布局，做到实验场所、仪器设备、实验队伍、规章制度与科学管理协调发展，提高投资效益。</w:t>
      </w:r>
    </w:p>
    <w:p>
      <w:pPr>
        <w:pStyle w:val="5"/>
        <w:spacing w:line="480" w:lineRule="exact"/>
        <w:rPr>
          <w:rFonts w:ascii="黑体" w:hAnsi="黑体" w:eastAsia="黑体" w:cs="黑体"/>
          <w:bCs/>
          <w:sz w:val="32"/>
          <w:szCs w:val="32"/>
        </w:rPr>
      </w:pPr>
    </w:p>
    <w:p>
      <w:pPr>
        <w:pStyle w:val="5"/>
        <w:numPr>
          <w:ilvl w:val="0"/>
          <w:numId w:val="1"/>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实验室基本任务</w:t>
      </w:r>
    </w:p>
    <w:p>
      <w:pPr>
        <w:pStyle w:val="5"/>
        <w:spacing w:line="480" w:lineRule="exact"/>
        <w:rPr>
          <w:rFonts w:hAnsi="宋体" w:cs="宋体"/>
          <w:bCs/>
          <w:sz w:val="24"/>
          <w:szCs w:val="24"/>
        </w:rPr>
      </w:pPr>
    </w:p>
    <w:p>
      <w:pPr>
        <w:pStyle w:val="5"/>
        <w:spacing w:line="480" w:lineRule="exact"/>
        <w:ind w:firstLine="472" w:firstLineChars="196"/>
        <w:rPr>
          <w:rFonts w:hAnsi="宋体" w:cs="宋体"/>
          <w:bCs/>
          <w:sz w:val="24"/>
          <w:szCs w:val="24"/>
        </w:rPr>
      </w:pPr>
      <w:r>
        <w:rPr>
          <w:rFonts w:hint="eastAsia" w:hAnsi="宋体" w:cs="宋体"/>
          <w:b/>
          <w:sz w:val="24"/>
          <w:szCs w:val="24"/>
        </w:rPr>
        <w:t>第四条</w:t>
      </w:r>
      <w:r>
        <w:rPr>
          <w:rFonts w:hint="eastAsia" w:hAnsi="宋体" w:cs="宋体"/>
          <w:bCs/>
          <w:sz w:val="24"/>
          <w:szCs w:val="24"/>
        </w:rPr>
        <w:t xml:space="preserve"> 根据学校教学计划和教学大纲，承担实验教学任务。制定并完善实验指导书等实验教学资料，安排实验指导教师，保证按要求完成实验教学任务。</w:t>
      </w:r>
    </w:p>
    <w:p>
      <w:pPr>
        <w:pStyle w:val="5"/>
        <w:spacing w:line="480" w:lineRule="exact"/>
        <w:ind w:firstLine="472" w:firstLineChars="196"/>
        <w:rPr>
          <w:rFonts w:hAnsi="宋体" w:cs="宋体"/>
          <w:bCs/>
          <w:sz w:val="24"/>
          <w:szCs w:val="24"/>
        </w:rPr>
      </w:pPr>
      <w:r>
        <w:rPr>
          <w:rFonts w:hint="eastAsia" w:hAnsi="宋体" w:cs="宋体"/>
          <w:b/>
          <w:sz w:val="24"/>
          <w:szCs w:val="24"/>
        </w:rPr>
        <w:t>第五条</w:t>
      </w:r>
      <w:r>
        <w:rPr>
          <w:rFonts w:hint="eastAsia" w:hAnsi="宋体" w:cs="宋体"/>
          <w:bCs/>
          <w:sz w:val="24"/>
          <w:szCs w:val="24"/>
        </w:rPr>
        <w:t xml:space="preserve"> 努力提高实验教学质量，突出动手能力和创新能力的培养。及时吸收先进的教学、科研新成果，丰富实验内容，不断改进实验教学模式，提高综合性自主性实验比例。</w:t>
      </w:r>
    </w:p>
    <w:p>
      <w:pPr>
        <w:pStyle w:val="5"/>
        <w:tabs>
          <w:tab w:val="left" w:pos="735"/>
        </w:tabs>
        <w:spacing w:line="480" w:lineRule="exact"/>
        <w:ind w:firstLine="472" w:firstLineChars="196"/>
        <w:rPr>
          <w:rFonts w:hAnsi="宋体" w:cs="宋体"/>
          <w:bCs/>
          <w:sz w:val="24"/>
          <w:szCs w:val="24"/>
        </w:rPr>
      </w:pPr>
      <w:r>
        <w:rPr>
          <w:rFonts w:hint="eastAsia" w:hAnsi="宋体" w:cs="宋体"/>
          <w:b/>
          <w:sz w:val="24"/>
          <w:szCs w:val="24"/>
        </w:rPr>
        <w:t>第六条</w:t>
      </w:r>
      <w:r>
        <w:rPr>
          <w:rFonts w:hint="eastAsia" w:hAnsi="宋体" w:cs="宋体"/>
          <w:bCs/>
          <w:sz w:val="24"/>
          <w:szCs w:val="24"/>
        </w:rPr>
        <w:t xml:space="preserve"> 积极承担科研任务，开展科学研究，努力提高实验技术水平；积极开展社会服务，面向社会开展技术培训、学术交流等，为地方经济建设服务。</w:t>
      </w:r>
    </w:p>
    <w:p>
      <w:pPr>
        <w:pStyle w:val="5"/>
        <w:tabs>
          <w:tab w:val="left" w:pos="735"/>
        </w:tabs>
        <w:spacing w:line="480" w:lineRule="exact"/>
        <w:ind w:firstLine="472" w:firstLineChars="196"/>
        <w:rPr>
          <w:rFonts w:hAnsi="宋体" w:cs="宋体"/>
          <w:bCs/>
          <w:sz w:val="24"/>
          <w:szCs w:val="24"/>
        </w:rPr>
      </w:pPr>
      <w:r>
        <w:rPr>
          <w:rFonts w:hint="eastAsia" w:hAnsi="宋体" w:cs="宋体"/>
          <w:b/>
          <w:sz w:val="24"/>
          <w:szCs w:val="24"/>
        </w:rPr>
        <w:t>第七条</w:t>
      </w:r>
      <w:r>
        <w:rPr>
          <w:rFonts w:hint="eastAsia" w:hAnsi="宋体" w:cs="宋体"/>
          <w:bCs/>
          <w:sz w:val="24"/>
          <w:szCs w:val="24"/>
        </w:rPr>
        <w:t xml:space="preserve"> 做好仪器设备的管理、修理、计量和标准鉴定工作，使仪器设备长期处于完好状态；积极开展实验装置的研究、改进和自制工作。</w:t>
      </w:r>
    </w:p>
    <w:p>
      <w:pPr>
        <w:pStyle w:val="5"/>
        <w:tabs>
          <w:tab w:val="left" w:pos="735"/>
        </w:tabs>
        <w:spacing w:line="480" w:lineRule="exact"/>
        <w:rPr>
          <w:rFonts w:hAnsi="宋体" w:cs="宋体"/>
          <w:bCs/>
          <w:sz w:val="24"/>
          <w:szCs w:val="24"/>
        </w:rPr>
      </w:pPr>
    </w:p>
    <w:p>
      <w:pPr>
        <w:pStyle w:val="5"/>
        <w:numPr>
          <w:ilvl w:val="0"/>
          <w:numId w:val="1"/>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实验室体制</w:t>
      </w:r>
    </w:p>
    <w:p>
      <w:pPr>
        <w:pStyle w:val="5"/>
        <w:spacing w:line="480" w:lineRule="exact"/>
        <w:rPr>
          <w:rFonts w:hAnsi="宋体" w:cs="宋体"/>
          <w:bCs/>
          <w:sz w:val="24"/>
          <w:szCs w:val="24"/>
        </w:rPr>
      </w:pPr>
    </w:p>
    <w:p>
      <w:pPr>
        <w:pStyle w:val="5"/>
        <w:spacing w:line="480" w:lineRule="exact"/>
        <w:ind w:firstLine="472" w:firstLineChars="196"/>
        <w:rPr>
          <w:rFonts w:hAnsi="宋体" w:cs="宋体"/>
          <w:bCs/>
          <w:sz w:val="24"/>
          <w:szCs w:val="24"/>
        </w:rPr>
      </w:pPr>
      <w:r>
        <w:rPr>
          <w:rFonts w:hint="eastAsia" w:hAnsi="宋体" w:cs="宋体"/>
          <w:b/>
          <w:sz w:val="24"/>
          <w:szCs w:val="24"/>
        </w:rPr>
        <w:t>第八条</w:t>
      </w:r>
      <w:r>
        <w:rPr>
          <w:rFonts w:hint="eastAsia" w:hAnsi="宋体" w:cs="宋体"/>
          <w:bCs/>
          <w:sz w:val="24"/>
          <w:szCs w:val="24"/>
        </w:rPr>
        <w:t xml:space="preserve"> 实验室实行校、学院（中心）二级管理体制。</w:t>
      </w:r>
    </w:p>
    <w:p>
      <w:pPr>
        <w:pStyle w:val="5"/>
        <w:spacing w:line="480" w:lineRule="exact"/>
        <w:ind w:firstLine="472" w:firstLineChars="196"/>
        <w:rPr>
          <w:rFonts w:hAnsi="宋体" w:cs="宋体"/>
          <w:bCs/>
          <w:sz w:val="24"/>
          <w:szCs w:val="24"/>
        </w:rPr>
      </w:pPr>
      <w:r>
        <w:rPr>
          <w:rFonts w:hint="eastAsia" w:hAnsi="宋体" w:cs="宋体"/>
          <w:b/>
          <w:sz w:val="24"/>
          <w:szCs w:val="24"/>
        </w:rPr>
        <w:t>第九条</w:t>
      </w:r>
      <w:r>
        <w:rPr>
          <w:rFonts w:hint="eastAsia" w:hAnsi="宋体" w:cs="宋体"/>
          <w:bCs/>
          <w:sz w:val="24"/>
          <w:szCs w:val="24"/>
        </w:rPr>
        <w:t xml:space="preserve"> 实验室与设备管理处是负责实验室主要工作的职能部门之一，在分管校长领导下开展工作，实验室与设备管理处的主要职责是：</w:t>
      </w:r>
    </w:p>
    <w:p>
      <w:pPr>
        <w:pStyle w:val="5"/>
        <w:spacing w:line="480" w:lineRule="exact"/>
        <w:ind w:firstLine="480" w:firstLineChars="200"/>
        <w:rPr>
          <w:rFonts w:hAnsi="宋体" w:cs="宋体"/>
          <w:bCs/>
          <w:sz w:val="24"/>
          <w:szCs w:val="24"/>
        </w:rPr>
      </w:pPr>
      <w:r>
        <w:rPr>
          <w:rFonts w:hint="eastAsia" w:hAnsi="宋体" w:cs="宋体"/>
          <w:bCs/>
          <w:sz w:val="24"/>
          <w:szCs w:val="24"/>
        </w:rPr>
        <w:t>（一）贯彻执行国家有关的方针、政策和法令，根据实验室工作实际情况，拟定有关实验室工作文件，完善各项管理制度；</w:t>
      </w:r>
    </w:p>
    <w:p>
      <w:pPr>
        <w:spacing w:line="480" w:lineRule="exact"/>
        <w:ind w:firstLine="480" w:firstLineChars="200"/>
        <w:rPr>
          <w:rFonts w:ascii="宋体" w:hAnsi="宋体"/>
          <w:bCs/>
          <w:sz w:val="24"/>
          <w:szCs w:val="24"/>
        </w:rPr>
      </w:pPr>
      <w:r>
        <w:rPr>
          <w:rFonts w:hint="eastAsia" w:ascii="宋体" w:hAnsi="宋体"/>
          <w:bCs/>
          <w:sz w:val="24"/>
          <w:szCs w:val="24"/>
        </w:rPr>
        <w:t>（二）组织制定和实施实验室建设规划和年度计划，审核各学院（中心）等设备购置方案，负责仪器设备费和实验材料费、低耗用品购置经费以及教学、办公设备修护费的运行，并进行效益评估；</w:t>
      </w:r>
    </w:p>
    <w:p>
      <w:pPr>
        <w:spacing w:line="480" w:lineRule="exact"/>
        <w:ind w:firstLine="480" w:firstLineChars="200"/>
        <w:rPr>
          <w:rFonts w:ascii="宋体" w:hAnsi="宋体"/>
          <w:bCs/>
          <w:sz w:val="24"/>
          <w:szCs w:val="24"/>
        </w:rPr>
      </w:pPr>
      <w:r>
        <w:rPr>
          <w:rFonts w:hint="eastAsia" w:ascii="宋体" w:hAnsi="宋体"/>
          <w:bCs/>
          <w:sz w:val="24"/>
          <w:szCs w:val="24"/>
        </w:rPr>
        <w:t>（三）定期组织检查，督促各实验室完成各项任务，提出整改建议，确定年度考核意见；</w:t>
      </w:r>
    </w:p>
    <w:p>
      <w:pPr>
        <w:spacing w:line="480" w:lineRule="exact"/>
        <w:ind w:firstLine="480" w:firstLineChars="200"/>
        <w:rPr>
          <w:rFonts w:ascii="宋体" w:hAnsi="宋体"/>
          <w:bCs/>
          <w:sz w:val="24"/>
          <w:szCs w:val="24"/>
        </w:rPr>
      </w:pPr>
      <w:r>
        <w:rPr>
          <w:rFonts w:hint="eastAsia" w:ascii="宋体" w:hAnsi="宋体"/>
          <w:bCs/>
          <w:sz w:val="24"/>
          <w:szCs w:val="24"/>
        </w:rPr>
        <w:t>（四）协同教务、科研部门做好实验教学、实验管理工作；</w:t>
      </w:r>
    </w:p>
    <w:p>
      <w:pPr>
        <w:spacing w:line="480" w:lineRule="exact"/>
        <w:ind w:firstLine="480" w:firstLineChars="200"/>
        <w:rPr>
          <w:rFonts w:ascii="宋体" w:hAnsi="宋体"/>
          <w:bCs/>
          <w:sz w:val="24"/>
          <w:szCs w:val="24"/>
        </w:rPr>
      </w:pPr>
      <w:r>
        <w:rPr>
          <w:rFonts w:hint="eastAsia" w:ascii="宋体" w:hAnsi="宋体"/>
          <w:bCs/>
          <w:sz w:val="24"/>
          <w:szCs w:val="24"/>
        </w:rPr>
        <w:t>（五）配合人事、教务部门做好实验队伍建设，定岗、定编及实验教师培训、考核工作；</w:t>
      </w:r>
    </w:p>
    <w:p>
      <w:pPr>
        <w:spacing w:line="480" w:lineRule="exact"/>
        <w:ind w:firstLine="480" w:firstLineChars="200"/>
        <w:rPr>
          <w:rFonts w:ascii="宋体" w:hAnsi="宋体"/>
          <w:bCs/>
          <w:sz w:val="24"/>
          <w:szCs w:val="24"/>
        </w:rPr>
      </w:pPr>
      <w:r>
        <w:rPr>
          <w:rFonts w:hint="eastAsia" w:ascii="宋体" w:hAnsi="宋体"/>
          <w:bCs/>
          <w:sz w:val="24"/>
          <w:szCs w:val="24"/>
        </w:rPr>
        <w:t>（六）协同保卫部门做好平安实验室建设工作。</w:t>
      </w:r>
    </w:p>
    <w:p>
      <w:pPr>
        <w:spacing w:line="480" w:lineRule="exact"/>
        <w:ind w:firstLine="583" w:firstLineChars="242"/>
        <w:rPr>
          <w:rFonts w:ascii="宋体" w:hAnsi="宋体"/>
          <w:bCs/>
          <w:sz w:val="24"/>
          <w:szCs w:val="24"/>
        </w:rPr>
      </w:pPr>
      <w:r>
        <w:rPr>
          <w:rFonts w:hint="eastAsia" w:ascii="宋体" w:hAnsi="宋体"/>
          <w:b/>
          <w:sz w:val="24"/>
          <w:szCs w:val="24"/>
        </w:rPr>
        <w:t>第十条</w:t>
      </w:r>
      <w:r>
        <w:rPr>
          <w:rFonts w:hint="eastAsia" w:ascii="宋体" w:hAnsi="宋体"/>
          <w:bCs/>
          <w:sz w:val="24"/>
          <w:szCs w:val="24"/>
        </w:rPr>
        <w:t xml:space="preserve"> 各学院（中心）可根据需要设立相应的实验室管理岗位和机构,并根据上级文件精神及实际工作需要制定适合本部门实验室工作的规章制度。</w:t>
      </w:r>
    </w:p>
    <w:p>
      <w:pPr>
        <w:spacing w:line="480" w:lineRule="exact"/>
        <w:ind w:firstLine="472" w:firstLineChars="196"/>
        <w:rPr>
          <w:rFonts w:ascii="宋体" w:hAnsi="宋体"/>
          <w:bCs/>
          <w:sz w:val="24"/>
          <w:szCs w:val="24"/>
        </w:rPr>
      </w:pPr>
      <w:r>
        <w:rPr>
          <w:rFonts w:hint="eastAsia" w:ascii="宋体" w:hAnsi="宋体"/>
          <w:b/>
          <w:sz w:val="24"/>
          <w:szCs w:val="24"/>
        </w:rPr>
        <w:t>第十一条</w:t>
      </w:r>
      <w:r>
        <w:rPr>
          <w:rFonts w:hint="eastAsia" w:ascii="宋体" w:hAnsi="宋体"/>
          <w:bCs/>
          <w:sz w:val="24"/>
          <w:szCs w:val="24"/>
        </w:rPr>
        <w:t xml:space="preserve"> 实验室实行主任负责制。</w:t>
      </w:r>
    </w:p>
    <w:p>
      <w:pPr>
        <w:spacing w:line="480" w:lineRule="exact"/>
        <w:ind w:firstLine="472" w:firstLineChars="196"/>
        <w:rPr>
          <w:rFonts w:ascii="宋体" w:hAnsi="宋体"/>
          <w:bCs/>
          <w:sz w:val="24"/>
          <w:szCs w:val="24"/>
        </w:rPr>
      </w:pPr>
      <w:r>
        <w:rPr>
          <w:rFonts w:hint="eastAsia" w:ascii="宋体" w:hAnsi="宋体"/>
          <w:b/>
          <w:sz w:val="24"/>
          <w:szCs w:val="24"/>
        </w:rPr>
        <w:t>第十二条</w:t>
      </w:r>
      <w:r>
        <w:rPr>
          <w:rFonts w:hint="eastAsia" w:ascii="宋体" w:hAnsi="宋体"/>
          <w:bCs/>
          <w:sz w:val="24"/>
          <w:szCs w:val="24"/>
        </w:rPr>
        <w:t xml:space="preserve"> 涉及实验室建设、仪器设备布局及科学管理等重大事项由校长办公会议讨论决定。</w:t>
      </w:r>
    </w:p>
    <w:p>
      <w:pPr>
        <w:spacing w:line="480" w:lineRule="exact"/>
        <w:ind w:firstLine="472" w:firstLineChars="196"/>
        <w:rPr>
          <w:rFonts w:ascii="宋体" w:hAnsi="宋体"/>
          <w:bCs/>
          <w:sz w:val="24"/>
          <w:szCs w:val="24"/>
        </w:rPr>
      </w:pPr>
      <w:r>
        <w:rPr>
          <w:rFonts w:hint="eastAsia" w:ascii="宋体" w:hAnsi="宋体"/>
          <w:b/>
          <w:sz w:val="24"/>
          <w:szCs w:val="24"/>
        </w:rPr>
        <w:t>第十三条</w:t>
      </w:r>
      <w:r>
        <w:rPr>
          <w:rFonts w:hint="eastAsia" w:ascii="宋体" w:hAnsi="宋体"/>
          <w:bCs/>
          <w:sz w:val="24"/>
          <w:szCs w:val="24"/>
        </w:rPr>
        <w:t xml:space="preserve"> 实验室的设立、撤销或更名由所在部门提出书面申请，经实验室与设备管理处组织相关部门和专家论证，报校长办公会议审批后方可实施。</w:t>
      </w:r>
    </w:p>
    <w:p>
      <w:pPr>
        <w:spacing w:line="480" w:lineRule="exact"/>
        <w:rPr>
          <w:rFonts w:ascii="宋体" w:hAnsi="宋体"/>
          <w:bCs/>
          <w:sz w:val="24"/>
          <w:szCs w:val="24"/>
        </w:rPr>
      </w:pPr>
    </w:p>
    <w:p>
      <w:pPr>
        <w:pStyle w:val="5"/>
        <w:numPr>
          <w:ilvl w:val="0"/>
          <w:numId w:val="1"/>
        </w:numPr>
        <w:spacing w:line="480" w:lineRule="exact"/>
        <w:ind w:firstLine="420"/>
        <w:jc w:val="center"/>
        <w:rPr>
          <w:rFonts w:ascii="黑体" w:hAnsi="黑体" w:eastAsia="黑体" w:cs="黑体"/>
          <w:bCs/>
          <w:sz w:val="32"/>
          <w:szCs w:val="32"/>
        </w:rPr>
      </w:pPr>
      <w:r>
        <w:rPr>
          <w:rFonts w:hint="eastAsia" w:ascii="黑体" w:hAnsi="黑体" w:eastAsia="黑体" w:cs="黑体"/>
          <w:bCs/>
          <w:sz w:val="32"/>
          <w:szCs w:val="32"/>
        </w:rPr>
        <w:t xml:space="preserve"> 实验室管理</w:t>
      </w:r>
    </w:p>
    <w:p>
      <w:pPr>
        <w:pStyle w:val="5"/>
        <w:spacing w:line="480" w:lineRule="exact"/>
        <w:rPr>
          <w:rFonts w:hAnsi="宋体" w:cs="宋体"/>
          <w:bCs/>
          <w:sz w:val="24"/>
          <w:szCs w:val="24"/>
        </w:rPr>
      </w:pPr>
    </w:p>
    <w:p>
      <w:pPr>
        <w:tabs>
          <w:tab w:val="left" w:pos="735"/>
        </w:tabs>
        <w:spacing w:line="480" w:lineRule="exact"/>
        <w:ind w:firstLine="472" w:firstLineChars="196"/>
        <w:rPr>
          <w:rFonts w:ascii="宋体" w:hAnsi="宋体"/>
          <w:bCs/>
          <w:sz w:val="24"/>
          <w:szCs w:val="24"/>
        </w:rPr>
      </w:pPr>
      <w:r>
        <w:rPr>
          <w:rFonts w:hint="eastAsia" w:ascii="宋体" w:hAnsi="宋体"/>
          <w:b/>
          <w:sz w:val="24"/>
          <w:szCs w:val="24"/>
        </w:rPr>
        <w:t>第十四条</w:t>
      </w:r>
      <w:r>
        <w:rPr>
          <w:rFonts w:hint="eastAsia" w:ascii="宋体" w:hAnsi="宋体"/>
          <w:bCs/>
          <w:sz w:val="24"/>
          <w:szCs w:val="24"/>
        </w:rPr>
        <w:t xml:space="preserve"> 严格遵守安全法规和制度，定期对防火、防爆、防盗、防事故等安全措施的落实情况进行检查。各部门在新生做实验前，须组织安全教育和实验室安全知识考试，切实保障师生人身安全。</w:t>
      </w:r>
    </w:p>
    <w:p>
      <w:pPr>
        <w:spacing w:line="480" w:lineRule="exact"/>
        <w:ind w:firstLine="472" w:firstLineChars="196"/>
        <w:rPr>
          <w:rFonts w:ascii="宋体" w:hAnsi="宋体"/>
          <w:bCs/>
          <w:sz w:val="24"/>
          <w:szCs w:val="24"/>
        </w:rPr>
      </w:pPr>
      <w:r>
        <w:rPr>
          <w:rFonts w:hint="eastAsia" w:ascii="宋体" w:hAnsi="宋体"/>
          <w:b/>
          <w:sz w:val="24"/>
          <w:szCs w:val="24"/>
        </w:rPr>
        <w:t>第十五条</w:t>
      </w:r>
      <w:r>
        <w:rPr>
          <w:rFonts w:hint="eastAsia" w:ascii="宋体" w:hAnsi="宋体"/>
          <w:bCs/>
          <w:sz w:val="24"/>
          <w:szCs w:val="24"/>
        </w:rPr>
        <w:t xml:space="preserve"> 严格遵守国家环境保护工作有关规定，不得随意排放废水、废物、废气，不得污染环境；实验用动植物废弃物，应予以妥善处理，严防病毒、病菌扩散、传播。  </w:t>
      </w:r>
    </w:p>
    <w:p>
      <w:pPr>
        <w:tabs>
          <w:tab w:val="left" w:pos="735"/>
        </w:tabs>
        <w:spacing w:line="480" w:lineRule="exact"/>
        <w:ind w:firstLine="472" w:firstLineChars="196"/>
        <w:rPr>
          <w:rFonts w:ascii="宋体" w:hAnsi="宋体"/>
          <w:bCs/>
          <w:sz w:val="24"/>
          <w:szCs w:val="24"/>
        </w:rPr>
      </w:pPr>
      <w:r>
        <w:rPr>
          <w:rFonts w:hint="eastAsia" w:ascii="宋体" w:hAnsi="宋体"/>
          <w:b/>
          <w:sz w:val="24"/>
          <w:szCs w:val="24"/>
        </w:rPr>
        <w:t>第十六条</w:t>
      </w:r>
      <w:r>
        <w:rPr>
          <w:rFonts w:hint="eastAsia" w:ascii="宋体" w:hAnsi="宋体"/>
          <w:bCs/>
          <w:sz w:val="24"/>
          <w:szCs w:val="24"/>
        </w:rPr>
        <w:t xml:space="preserve"> 实验室仪器设备、材料、低值易耗品，应严格按照相关规定进行管理。</w:t>
      </w:r>
    </w:p>
    <w:p>
      <w:pPr>
        <w:spacing w:line="480" w:lineRule="exact"/>
        <w:ind w:firstLine="472" w:firstLineChars="196"/>
        <w:rPr>
          <w:rFonts w:ascii="宋体" w:hAnsi="宋体"/>
          <w:bCs/>
          <w:sz w:val="24"/>
          <w:szCs w:val="24"/>
        </w:rPr>
      </w:pPr>
      <w:r>
        <w:rPr>
          <w:rFonts w:hint="eastAsia" w:ascii="宋体" w:hAnsi="宋体"/>
          <w:b/>
          <w:sz w:val="24"/>
          <w:szCs w:val="24"/>
        </w:rPr>
        <w:t>第十七条</w:t>
      </w:r>
      <w:r>
        <w:rPr>
          <w:rFonts w:hint="eastAsia" w:ascii="宋体" w:hAnsi="宋体"/>
          <w:bCs/>
          <w:sz w:val="24"/>
          <w:szCs w:val="24"/>
        </w:rPr>
        <w:t xml:space="preserve"> 实验室所需各种实验动物，要按照国家科委发布的《实验动物管理条例》及其它有关规定进行饲养、检疫和使用。</w:t>
      </w:r>
    </w:p>
    <w:p>
      <w:pPr>
        <w:pStyle w:val="5"/>
        <w:spacing w:line="480" w:lineRule="exact"/>
        <w:ind w:firstLine="472" w:firstLineChars="196"/>
        <w:rPr>
          <w:rFonts w:hAnsi="宋体" w:cs="宋体"/>
          <w:bCs/>
          <w:sz w:val="24"/>
          <w:szCs w:val="24"/>
        </w:rPr>
      </w:pPr>
      <w:r>
        <w:rPr>
          <w:rFonts w:hint="eastAsia" w:hAnsi="宋体" w:cs="宋体"/>
          <w:b/>
          <w:sz w:val="24"/>
          <w:szCs w:val="24"/>
        </w:rPr>
        <w:t>第十八条</w:t>
      </w:r>
      <w:r>
        <w:rPr>
          <w:rFonts w:hint="eastAsia" w:hAnsi="宋体" w:cs="宋体"/>
          <w:bCs/>
          <w:sz w:val="24"/>
          <w:szCs w:val="24"/>
        </w:rPr>
        <w:t xml:space="preserve"> 实验室对外服务，必须报实验室与设备管理处备案，分管校领导审批。未经国家或政府有关部门计量论证过的实验室，不得对外出具公证数据。 </w:t>
      </w:r>
    </w:p>
    <w:p>
      <w:pPr>
        <w:pStyle w:val="5"/>
        <w:spacing w:line="480" w:lineRule="exact"/>
        <w:ind w:firstLine="472" w:firstLineChars="196"/>
        <w:rPr>
          <w:rFonts w:hAnsi="宋体" w:cs="宋体"/>
          <w:bCs/>
          <w:sz w:val="24"/>
          <w:szCs w:val="24"/>
        </w:rPr>
      </w:pPr>
      <w:r>
        <w:rPr>
          <w:rFonts w:hint="eastAsia" w:hAnsi="宋体" w:cs="宋体"/>
          <w:b/>
          <w:sz w:val="24"/>
          <w:szCs w:val="24"/>
        </w:rPr>
        <w:t>第十九条</w:t>
      </w:r>
      <w:r>
        <w:rPr>
          <w:rFonts w:hint="eastAsia" w:hAnsi="宋体" w:cs="宋体"/>
          <w:bCs/>
          <w:sz w:val="24"/>
          <w:szCs w:val="24"/>
        </w:rPr>
        <w:t xml:space="preserve"> 做好实验室档案收集、整理和信息搜集、存储工作。</w:t>
      </w:r>
    </w:p>
    <w:p>
      <w:pPr>
        <w:pStyle w:val="5"/>
        <w:spacing w:line="480" w:lineRule="exact"/>
        <w:rPr>
          <w:rFonts w:hAnsi="宋体" w:cs="宋体"/>
          <w:bCs/>
          <w:sz w:val="24"/>
          <w:szCs w:val="24"/>
        </w:rPr>
      </w:pPr>
    </w:p>
    <w:p>
      <w:pPr>
        <w:pStyle w:val="5"/>
        <w:numPr>
          <w:ilvl w:val="0"/>
          <w:numId w:val="1"/>
        </w:numPr>
        <w:spacing w:line="480" w:lineRule="exact"/>
        <w:ind w:firstLine="420"/>
        <w:jc w:val="center"/>
        <w:rPr>
          <w:rFonts w:ascii="黑体" w:hAnsi="黑体" w:eastAsia="黑体" w:cs="黑体"/>
          <w:bCs/>
          <w:sz w:val="32"/>
          <w:szCs w:val="32"/>
        </w:rPr>
      </w:pPr>
      <w:r>
        <w:rPr>
          <w:rFonts w:hint="eastAsia" w:ascii="黑体" w:hAnsi="黑体" w:eastAsia="黑体" w:cs="黑体"/>
          <w:bCs/>
          <w:sz w:val="32"/>
          <w:szCs w:val="32"/>
        </w:rPr>
        <w:t xml:space="preserve"> 实验室建设</w:t>
      </w:r>
    </w:p>
    <w:p>
      <w:pPr>
        <w:pStyle w:val="5"/>
        <w:spacing w:line="480" w:lineRule="exact"/>
        <w:rPr>
          <w:rFonts w:hAnsi="宋体" w:cs="宋体"/>
          <w:bCs/>
          <w:sz w:val="24"/>
          <w:szCs w:val="24"/>
        </w:rPr>
      </w:pPr>
    </w:p>
    <w:p>
      <w:pPr>
        <w:pStyle w:val="5"/>
        <w:spacing w:line="480" w:lineRule="exact"/>
        <w:ind w:firstLine="472" w:firstLineChars="196"/>
        <w:rPr>
          <w:rFonts w:hAnsi="宋体" w:cs="宋体"/>
          <w:bCs/>
          <w:sz w:val="24"/>
          <w:szCs w:val="24"/>
        </w:rPr>
      </w:pPr>
      <w:r>
        <w:rPr>
          <w:rFonts w:hint="eastAsia" w:hAnsi="宋体" w:cs="宋体"/>
          <w:b/>
          <w:sz w:val="24"/>
          <w:szCs w:val="24"/>
        </w:rPr>
        <w:t>第二十条</w:t>
      </w:r>
      <w:r>
        <w:rPr>
          <w:rFonts w:hint="eastAsia" w:hAnsi="宋体" w:cs="宋体"/>
          <w:bCs/>
          <w:sz w:val="24"/>
          <w:szCs w:val="24"/>
        </w:rPr>
        <w:t xml:space="preserve"> 具备下列基本条件方可设置实验室：</w:t>
      </w:r>
    </w:p>
    <w:p>
      <w:pPr>
        <w:pStyle w:val="5"/>
        <w:spacing w:line="480" w:lineRule="exact"/>
        <w:ind w:firstLine="480" w:firstLineChars="200"/>
        <w:rPr>
          <w:rFonts w:hAnsi="宋体" w:cs="宋体"/>
          <w:bCs/>
          <w:sz w:val="24"/>
          <w:szCs w:val="24"/>
        </w:rPr>
      </w:pPr>
      <w:r>
        <w:rPr>
          <w:rFonts w:hint="eastAsia" w:hAnsi="宋体" w:cs="宋体"/>
          <w:bCs/>
          <w:sz w:val="24"/>
          <w:szCs w:val="24"/>
        </w:rPr>
        <w:t>（一）有稳定的学科发展方向和饱满的实验教学、科研、技术开发等任务；</w:t>
      </w:r>
    </w:p>
    <w:p>
      <w:pPr>
        <w:pStyle w:val="5"/>
        <w:spacing w:line="480" w:lineRule="exact"/>
        <w:ind w:firstLine="480" w:firstLineChars="200"/>
        <w:rPr>
          <w:rFonts w:hAnsi="宋体" w:cs="宋体"/>
          <w:bCs/>
          <w:sz w:val="24"/>
          <w:szCs w:val="24"/>
        </w:rPr>
      </w:pPr>
      <w:r>
        <w:rPr>
          <w:rFonts w:hint="eastAsia" w:hAnsi="宋体" w:cs="宋体"/>
          <w:bCs/>
          <w:sz w:val="24"/>
          <w:szCs w:val="24"/>
        </w:rPr>
        <w:t>（二）有符合实验要求的房舍、设施和环境；</w:t>
      </w:r>
    </w:p>
    <w:p>
      <w:pPr>
        <w:pStyle w:val="5"/>
        <w:spacing w:line="480" w:lineRule="exact"/>
        <w:ind w:firstLine="480" w:firstLineChars="200"/>
        <w:rPr>
          <w:rFonts w:hAnsi="宋体" w:cs="宋体"/>
          <w:bCs/>
          <w:sz w:val="24"/>
          <w:szCs w:val="24"/>
        </w:rPr>
      </w:pPr>
      <w:r>
        <w:rPr>
          <w:rFonts w:hint="eastAsia" w:hAnsi="宋体" w:cs="宋体"/>
          <w:bCs/>
          <w:sz w:val="24"/>
          <w:szCs w:val="24"/>
        </w:rPr>
        <w:t>（三）有合格的实验室主任和一定数量称职的专职实验技术人员。</w:t>
      </w:r>
    </w:p>
    <w:p>
      <w:pPr>
        <w:pStyle w:val="5"/>
        <w:tabs>
          <w:tab w:val="left" w:pos="735"/>
        </w:tabs>
        <w:spacing w:line="480" w:lineRule="exact"/>
        <w:ind w:firstLine="472" w:firstLineChars="196"/>
        <w:rPr>
          <w:rFonts w:hAnsi="宋体" w:cs="宋体"/>
          <w:bCs/>
          <w:sz w:val="24"/>
          <w:szCs w:val="24"/>
        </w:rPr>
      </w:pPr>
      <w:r>
        <w:rPr>
          <w:rFonts w:hint="eastAsia" w:hAnsi="宋体" w:cs="宋体"/>
          <w:b/>
          <w:sz w:val="24"/>
          <w:szCs w:val="24"/>
        </w:rPr>
        <w:t>第二十一条</w:t>
      </w:r>
      <w:r>
        <w:rPr>
          <w:rFonts w:hint="eastAsia" w:hAnsi="宋体" w:cs="宋体"/>
          <w:bCs/>
          <w:sz w:val="24"/>
          <w:szCs w:val="24"/>
        </w:rPr>
        <w:t xml:space="preserve"> 实验室的建设与发展规划是学校总体建设发展规划的一个组成部分，充分考虑环境、设施、仪器设备、人员结构、经费投入等综合配套因素，学校统一规划，统一布局。   </w:t>
      </w:r>
    </w:p>
    <w:p>
      <w:pPr>
        <w:pStyle w:val="5"/>
        <w:spacing w:line="480" w:lineRule="exact"/>
        <w:ind w:firstLine="472" w:firstLineChars="196"/>
        <w:rPr>
          <w:rFonts w:hAnsi="宋体" w:cs="宋体"/>
          <w:bCs/>
          <w:sz w:val="24"/>
          <w:szCs w:val="24"/>
        </w:rPr>
      </w:pPr>
      <w:r>
        <w:rPr>
          <w:rFonts w:hint="eastAsia" w:hAnsi="宋体" w:cs="宋体"/>
          <w:b/>
          <w:sz w:val="24"/>
          <w:szCs w:val="24"/>
        </w:rPr>
        <w:t>第二十二条</w:t>
      </w:r>
      <w:r>
        <w:rPr>
          <w:rFonts w:hint="eastAsia" w:hAnsi="宋体" w:cs="宋体"/>
          <w:bCs/>
          <w:sz w:val="24"/>
          <w:szCs w:val="24"/>
        </w:rPr>
        <w:t xml:space="preserve"> 实验室的建设以学校教学计划、教学大纲为依据，学院（中心）根据相应的大纲编制年度建设计划和五年发展规划，实验人员的配备与调整纳入学校人事计划。</w:t>
      </w:r>
    </w:p>
    <w:p>
      <w:pPr>
        <w:pStyle w:val="5"/>
        <w:spacing w:line="480" w:lineRule="exact"/>
        <w:ind w:firstLine="472" w:firstLineChars="196"/>
        <w:rPr>
          <w:rFonts w:hAnsi="宋体" w:cs="宋体"/>
          <w:bCs/>
          <w:sz w:val="24"/>
          <w:szCs w:val="24"/>
        </w:rPr>
      </w:pPr>
      <w:r>
        <w:rPr>
          <w:rFonts w:hint="eastAsia" w:hAnsi="宋体" w:cs="宋体"/>
          <w:b/>
          <w:sz w:val="24"/>
          <w:szCs w:val="24"/>
        </w:rPr>
        <w:t>第二十三条</w:t>
      </w:r>
      <w:r>
        <w:rPr>
          <w:rFonts w:hint="eastAsia" w:hAnsi="宋体" w:cs="宋体"/>
          <w:bCs/>
          <w:sz w:val="24"/>
          <w:szCs w:val="24"/>
        </w:rPr>
        <w:t xml:space="preserve"> 实验室建设经费采取多渠道集资方法，从教育事业费、科研费、社会企事业捐助费、各种基金划出一定比例用于实验室建设。</w:t>
      </w:r>
    </w:p>
    <w:p>
      <w:pPr>
        <w:pStyle w:val="5"/>
        <w:spacing w:line="480" w:lineRule="exact"/>
        <w:ind w:firstLine="472" w:firstLineChars="196"/>
        <w:rPr>
          <w:rFonts w:hAnsi="宋体" w:cs="宋体"/>
          <w:bCs/>
          <w:sz w:val="24"/>
          <w:szCs w:val="24"/>
        </w:rPr>
      </w:pPr>
      <w:r>
        <w:rPr>
          <w:rFonts w:hint="eastAsia" w:hAnsi="宋体" w:cs="宋体"/>
          <w:b/>
          <w:sz w:val="24"/>
          <w:szCs w:val="24"/>
        </w:rPr>
        <w:t>第二十四条</w:t>
      </w:r>
      <w:r>
        <w:rPr>
          <w:rFonts w:hint="eastAsia" w:hAnsi="宋体" w:cs="宋体"/>
          <w:bCs/>
          <w:sz w:val="24"/>
          <w:szCs w:val="24"/>
        </w:rPr>
        <w:t xml:space="preserve"> 实验室进行对外有偿服务，收入的一部分用于实验室基本建设（实验室建设基金）。</w:t>
      </w:r>
    </w:p>
    <w:p>
      <w:pPr>
        <w:pStyle w:val="5"/>
        <w:spacing w:line="480" w:lineRule="exact"/>
        <w:ind w:firstLine="472" w:firstLineChars="196"/>
        <w:rPr>
          <w:rFonts w:hAnsi="宋体" w:cs="宋体"/>
          <w:bCs/>
          <w:sz w:val="24"/>
          <w:szCs w:val="24"/>
        </w:rPr>
      </w:pPr>
      <w:r>
        <w:rPr>
          <w:rFonts w:hint="eastAsia" w:hAnsi="宋体" w:cs="宋体"/>
          <w:b/>
          <w:sz w:val="24"/>
          <w:szCs w:val="24"/>
        </w:rPr>
        <w:t>第二十五条</w:t>
      </w:r>
      <w:r>
        <w:rPr>
          <w:rFonts w:hint="eastAsia" w:hAnsi="宋体" w:cs="宋体"/>
          <w:bCs/>
          <w:sz w:val="24"/>
          <w:szCs w:val="24"/>
        </w:rPr>
        <w:t xml:space="preserve"> 实验室的教学计划、教学内容由教务处负责落实。</w:t>
      </w:r>
    </w:p>
    <w:p>
      <w:pPr>
        <w:pStyle w:val="5"/>
        <w:spacing w:line="480" w:lineRule="exact"/>
        <w:rPr>
          <w:rFonts w:ascii="黑体" w:hAnsi="黑体" w:eastAsia="黑体" w:cs="黑体"/>
          <w:bCs/>
          <w:sz w:val="32"/>
          <w:szCs w:val="32"/>
        </w:rPr>
      </w:pPr>
    </w:p>
    <w:p>
      <w:pPr>
        <w:pStyle w:val="5"/>
        <w:spacing w:line="480" w:lineRule="exact"/>
        <w:ind w:left="420"/>
        <w:rPr>
          <w:rFonts w:ascii="黑体" w:hAnsi="黑体" w:eastAsia="黑体" w:cs="黑体"/>
          <w:bCs/>
          <w:sz w:val="32"/>
          <w:szCs w:val="32"/>
        </w:rPr>
      </w:pPr>
    </w:p>
    <w:p>
      <w:pPr>
        <w:pStyle w:val="5"/>
        <w:numPr>
          <w:ilvl w:val="0"/>
          <w:numId w:val="1"/>
        </w:numPr>
        <w:spacing w:line="480" w:lineRule="exact"/>
        <w:ind w:firstLine="420"/>
        <w:jc w:val="center"/>
        <w:rPr>
          <w:rFonts w:ascii="黑体" w:hAnsi="黑体" w:eastAsia="黑体" w:cs="黑体"/>
          <w:bCs/>
          <w:sz w:val="32"/>
          <w:szCs w:val="32"/>
        </w:rPr>
      </w:pPr>
      <w:r>
        <w:rPr>
          <w:rFonts w:hint="eastAsia" w:ascii="黑体" w:hAnsi="黑体" w:eastAsia="黑体" w:cs="黑体"/>
          <w:bCs/>
          <w:sz w:val="32"/>
          <w:szCs w:val="32"/>
        </w:rPr>
        <w:t xml:space="preserve"> 实验室人员</w:t>
      </w:r>
    </w:p>
    <w:p>
      <w:pPr>
        <w:pStyle w:val="5"/>
        <w:spacing w:line="480" w:lineRule="exact"/>
        <w:rPr>
          <w:rFonts w:hAnsi="宋体" w:cs="宋体"/>
          <w:bCs/>
          <w:sz w:val="24"/>
          <w:szCs w:val="24"/>
        </w:rPr>
      </w:pPr>
    </w:p>
    <w:p>
      <w:pPr>
        <w:pStyle w:val="5"/>
        <w:spacing w:line="480" w:lineRule="exact"/>
        <w:ind w:firstLine="472" w:firstLineChars="196"/>
        <w:rPr>
          <w:rFonts w:hAnsi="宋体" w:cs="宋体"/>
          <w:bCs/>
          <w:sz w:val="24"/>
          <w:szCs w:val="24"/>
        </w:rPr>
      </w:pPr>
      <w:r>
        <w:rPr>
          <w:rFonts w:hint="eastAsia" w:hAnsi="宋体" w:cs="宋体"/>
          <w:b/>
          <w:sz w:val="24"/>
          <w:szCs w:val="24"/>
        </w:rPr>
        <w:t>第二十六条</w:t>
      </w:r>
      <w:r>
        <w:rPr>
          <w:rFonts w:hint="eastAsia" w:hAnsi="宋体" w:cs="宋体"/>
          <w:bCs/>
          <w:sz w:val="24"/>
          <w:szCs w:val="24"/>
        </w:rPr>
        <w:t xml:space="preserve"> 实验室主任由具有较高思想政治觉悟、一定的专业理论知识、较强的组织管理能力和丰富的实验教学经验、原则上具有高级职称的教师担任；省级、国家级重点实验室由项目负责人担任实验室主任。各学院（中心）原则上要有3个实验室或3个专职实验员以上方可设置实验室主任1名。实验室主任任期为3年，可以续聘。因故不能继续履行职责，须提前1个月向所在学院（中心）提出书面申请，经批准后做好交接工作。</w:t>
      </w:r>
    </w:p>
    <w:p>
      <w:pPr>
        <w:pStyle w:val="5"/>
        <w:spacing w:line="480" w:lineRule="exact"/>
        <w:ind w:firstLine="472" w:firstLineChars="196"/>
        <w:rPr>
          <w:rFonts w:hAnsi="宋体" w:cs="宋体"/>
          <w:bCs/>
          <w:sz w:val="24"/>
          <w:szCs w:val="24"/>
        </w:rPr>
      </w:pPr>
      <w:r>
        <w:rPr>
          <w:rFonts w:hint="eastAsia" w:hAnsi="宋体" w:cs="宋体"/>
          <w:b/>
          <w:sz w:val="24"/>
          <w:szCs w:val="24"/>
        </w:rPr>
        <w:t>第二十七条</w:t>
      </w:r>
      <w:r>
        <w:rPr>
          <w:rFonts w:hint="eastAsia" w:hAnsi="宋体" w:cs="宋体"/>
          <w:bCs/>
          <w:sz w:val="24"/>
          <w:szCs w:val="24"/>
        </w:rPr>
        <w:t xml:space="preserve"> 实验室主任由学院（中心）任命，报人事处、教务处、实验室与设备管理处备案，其主要职责是：</w:t>
      </w:r>
    </w:p>
    <w:p>
      <w:pPr>
        <w:pStyle w:val="5"/>
        <w:spacing w:line="480" w:lineRule="exact"/>
        <w:ind w:firstLine="480" w:firstLineChars="200"/>
        <w:rPr>
          <w:rFonts w:hAnsi="宋体" w:cs="宋体"/>
          <w:bCs/>
          <w:sz w:val="24"/>
          <w:szCs w:val="24"/>
        </w:rPr>
      </w:pPr>
      <w:r>
        <w:rPr>
          <w:rFonts w:hint="eastAsia" w:hAnsi="宋体" w:cs="宋体"/>
          <w:bCs/>
          <w:sz w:val="24"/>
          <w:szCs w:val="24"/>
        </w:rPr>
        <w:t>（一）负责编制本实验室建设规划和工作计划，并负责组织实施和检查执行情况；</w:t>
      </w:r>
    </w:p>
    <w:p>
      <w:pPr>
        <w:pStyle w:val="5"/>
        <w:spacing w:line="480" w:lineRule="exact"/>
        <w:ind w:firstLine="480" w:firstLineChars="200"/>
        <w:rPr>
          <w:rFonts w:hAnsi="宋体" w:cs="宋体"/>
          <w:bCs/>
          <w:sz w:val="24"/>
          <w:szCs w:val="24"/>
        </w:rPr>
      </w:pPr>
      <w:r>
        <w:rPr>
          <w:rFonts w:hint="eastAsia" w:hAnsi="宋体" w:cs="宋体"/>
          <w:bCs/>
          <w:sz w:val="24"/>
          <w:szCs w:val="24"/>
        </w:rPr>
        <w:t>（二）领导并组织完成本规定第二章、第三章、第四章所规定的各项任务；</w:t>
      </w:r>
    </w:p>
    <w:p>
      <w:pPr>
        <w:pStyle w:val="5"/>
        <w:spacing w:line="480" w:lineRule="exact"/>
        <w:ind w:firstLine="480" w:firstLineChars="200"/>
        <w:rPr>
          <w:rFonts w:hAnsi="宋体" w:cs="宋体"/>
          <w:bCs/>
          <w:sz w:val="24"/>
          <w:szCs w:val="24"/>
        </w:rPr>
      </w:pPr>
      <w:r>
        <w:rPr>
          <w:rFonts w:hint="eastAsia" w:hAnsi="宋体" w:cs="宋体"/>
          <w:bCs/>
          <w:sz w:val="24"/>
          <w:szCs w:val="24"/>
        </w:rPr>
        <w:t>（三）科学管理实验室、组织实施有关规章制度；</w:t>
      </w:r>
    </w:p>
    <w:p>
      <w:pPr>
        <w:pStyle w:val="5"/>
        <w:spacing w:line="480" w:lineRule="exact"/>
        <w:ind w:firstLine="480" w:firstLineChars="200"/>
        <w:rPr>
          <w:rFonts w:hAnsi="宋体" w:cs="宋体"/>
          <w:bCs/>
          <w:sz w:val="24"/>
          <w:szCs w:val="24"/>
        </w:rPr>
      </w:pPr>
      <w:r>
        <w:rPr>
          <w:rFonts w:hint="eastAsia" w:hAnsi="宋体" w:cs="宋体"/>
          <w:bCs/>
          <w:sz w:val="24"/>
          <w:szCs w:val="24"/>
        </w:rPr>
        <w:t>（四）负责对本室工作人员的管理、考核及日常培训工作；</w:t>
      </w:r>
    </w:p>
    <w:p>
      <w:pPr>
        <w:pStyle w:val="5"/>
        <w:spacing w:line="480" w:lineRule="exact"/>
        <w:ind w:firstLine="480" w:firstLineChars="200"/>
        <w:rPr>
          <w:rFonts w:hAnsi="宋体" w:cs="宋体"/>
          <w:bCs/>
          <w:sz w:val="24"/>
          <w:szCs w:val="24"/>
        </w:rPr>
      </w:pPr>
      <w:r>
        <w:rPr>
          <w:rFonts w:hint="eastAsia" w:hAnsi="宋体" w:cs="宋体"/>
          <w:bCs/>
          <w:sz w:val="24"/>
          <w:szCs w:val="24"/>
        </w:rPr>
        <w:t>（五）负责本室精神文明建设、本室工作人员的思想政治工作和学生实验期间的教书育人工作；</w:t>
      </w:r>
    </w:p>
    <w:p>
      <w:pPr>
        <w:pStyle w:val="5"/>
        <w:spacing w:line="480" w:lineRule="exact"/>
        <w:ind w:firstLine="480" w:firstLineChars="200"/>
        <w:rPr>
          <w:rFonts w:hAnsi="宋体" w:cs="宋体"/>
          <w:bCs/>
          <w:sz w:val="24"/>
          <w:szCs w:val="24"/>
        </w:rPr>
      </w:pPr>
      <w:r>
        <w:rPr>
          <w:rFonts w:hint="eastAsia" w:hAnsi="宋体" w:cs="宋体"/>
          <w:bCs/>
          <w:sz w:val="24"/>
          <w:szCs w:val="24"/>
        </w:rPr>
        <w:t>（六）定期检查和总结实验室工作，开展和其他学院（中心）及兄弟院校的交流学习活动；</w:t>
      </w:r>
    </w:p>
    <w:p>
      <w:pPr>
        <w:pStyle w:val="5"/>
        <w:spacing w:line="480" w:lineRule="exact"/>
        <w:ind w:firstLine="480" w:firstLineChars="200"/>
        <w:rPr>
          <w:rFonts w:hAnsi="宋体" w:cs="宋体"/>
          <w:bCs/>
          <w:sz w:val="24"/>
          <w:szCs w:val="24"/>
        </w:rPr>
      </w:pPr>
      <w:r>
        <w:rPr>
          <w:rFonts w:hint="eastAsia" w:hAnsi="宋体" w:cs="宋体"/>
          <w:bCs/>
          <w:sz w:val="24"/>
          <w:szCs w:val="24"/>
        </w:rPr>
        <w:t>（七）为本实验室安全第一责任人。</w:t>
      </w:r>
    </w:p>
    <w:p>
      <w:pPr>
        <w:pStyle w:val="5"/>
        <w:spacing w:line="480" w:lineRule="exact"/>
        <w:ind w:firstLine="472" w:firstLineChars="196"/>
        <w:rPr>
          <w:rFonts w:hAnsi="宋体" w:cs="宋体"/>
          <w:bCs/>
          <w:sz w:val="24"/>
          <w:szCs w:val="24"/>
        </w:rPr>
      </w:pPr>
      <w:r>
        <w:rPr>
          <w:rFonts w:hint="eastAsia" w:hAnsi="宋体" w:cs="宋体"/>
          <w:b/>
          <w:sz w:val="24"/>
          <w:szCs w:val="24"/>
        </w:rPr>
        <w:t>第二十八条</w:t>
      </w:r>
      <w:r>
        <w:rPr>
          <w:rFonts w:hint="eastAsia" w:hAnsi="宋体" w:cs="宋体"/>
          <w:bCs/>
          <w:sz w:val="24"/>
          <w:szCs w:val="24"/>
        </w:rPr>
        <w:t xml:space="preserve"> 实验工作人员包括从事实验室工作的教师、实验技术人员、研究人员、管理人员和工人。各类人员应职责明确，责任到人，形成较高水平的实验教学团队。</w:t>
      </w:r>
    </w:p>
    <w:p>
      <w:pPr>
        <w:pStyle w:val="5"/>
        <w:spacing w:line="480" w:lineRule="exact"/>
        <w:ind w:firstLine="472" w:firstLineChars="196"/>
        <w:rPr>
          <w:rFonts w:hAnsi="宋体" w:cs="宋体"/>
          <w:bCs/>
          <w:sz w:val="24"/>
          <w:szCs w:val="24"/>
        </w:rPr>
      </w:pPr>
      <w:r>
        <w:rPr>
          <w:rFonts w:hint="eastAsia" w:hAnsi="宋体" w:cs="宋体"/>
          <w:b/>
          <w:sz w:val="24"/>
          <w:szCs w:val="24"/>
        </w:rPr>
        <w:t>第二十九条</w:t>
      </w:r>
      <w:r>
        <w:rPr>
          <w:rFonts w:hint="eastAsia" w:hAnsi="宋体" w:cs="宋体"/>
          <w:bCs/>
          <w:sz w:val="24"/>
          <w:szCs w:val="24"/>
        </w:rPr>
        <w:t xml:space="preserve"> 对在实验工作中从事有害健康工种的人员，可参照国家教育部和地方有关规定，享受保健待遇。</w:t>
      </w:r>
    </w:p>
    <w:p>
      <w:pPr>
        <w:pStyle w:val="5"/>
        <w:spacing w:line="480" w:lineRule="exact"/>
        <w:ind w:firstLine="472" w:firstLineChars="196"/>
        <w:rPr>
          <w:rFonts w:hAnsi="宋体" w:cs="宋体"/>
          <w:bCs/>
          <w:sz w:val="24"/>
          <w:szCs w:val="24"/>
        </w:rPr>
      </w:pPr>
      <w:r>
        <w:rPr>
          <w:rFonts w:hint="eastAsia" w:hAnsi="宋体" w:cs="宋体"/>
          <w:b/>
          <w:sz w:val="24"/>
          <w:szCs w:val="24"/>
        </w:rPr>
        <w:t>第三十条</w:t>
      </w:r>
      <w:r>
        <w:rPr>
          <w:rFonts w:hint="eastAsia" w:hAnsi="宋体" w:cs="宋体"/>
          <w:bCs/>
          <w:sz w:val="24"/>
          <w:szCs w:val="24"/>
        </w:rPr>
        <w:t xml:space="preserve"> 实验人员的职务聘任、级别晋升工作，根据本人工作实绩，由人事处按照国家和学校的有关规定执行。</w:t>
      </w:r>
    </w:p>
    <w:p>
      <w:pPr>
        <w:pStyle w:val="5"/>
        <w:spacing w:line="480" w:lineRule="exact"/>
        <w:ind w:firstLine="470" w:firstLineChars="196"/>
        <w:rPr>
          <w:rFonts w:hAnsi="宋体" w:cs="宋体"/>
          <w:bCs/>
          <w:sz w:val="24"/>
          <w:szCs w:val="24"/>
        </w:rPr>
      </w:pPr>
    </w:p>
    <w:p>
      <w:pPr>
        <w:pStyle w:val="5"/>
        <w:spacing w:line="480" w:lineRule="exact"/>
        <w:rPr>
          <w:rFonts w:hAnsi="宋体" w:cs="宋体"/>
          <w:bCs/>
          <w:sz w:val="24"/>
          <w:szCs w:val="24"/>
        </w:rPr>
      </w:pPr>
    </w:p>
    <w:p>
      <w:pPr>
        <w:pStyle w:val="5"/>
        <w:numPr>
          <w:ilvl w:val="0"/>
          <w:numId w:val="1"/>
        </w:numPr>
        <w:spacing w:line="480" w:lineRule="exact"/>
        <w:ind w:firstLine="420"/>
        <w:jc w:val="center"/>
        <w:rPr>
          <w:rFonts w:ascii="黑体" w:hAnsi="黑体" w:eastAsia="黑体" w:cs="黑体"/>
          <w:bCs/>
          <w:sz w:val="32"/>
          <w:szCs w:val="32"/>
        </w:rPr>
      </w:pPr>
      <w:r>
        <w:rPr>
          <w:rFonts w:hint="eastAsia" w:ascii="黑体" w:hAnsi="黑体" w:eastAsia="黑体" w:cs="黑体"/>
          <w:bCs/>
          <w:sz w:val="32"/>
          <w:szCs w:val="32"/>
        </w:rPr>
        <w:t xml:space="preserve"> 实验室工作考核</w:t>
      </w:r>
    </w:p>
    <w:p>
      <w:pPr>
        <w:pStyle w:val="5"/>
        <w:spacing w:line="480" w:lineRule="exact"/>
        <w:rPr>
          <w:rFonts w:hAnsi="宋体" w:cs="宋体"/>
          <w:bCs/>
          <w:sz w:val="24"/>
          <w:szCs w:val="24"/>
        </w:rPr>
      </w:pPr>
    </w:p>
    <w:p>
      <w:pPr>
        <w:pStyle w:val="5"/>
        <w:spacing w:line="480" w:lineRule="exact"/>
        <w:ind w:firstLine="472" w:firstLineChars="196"/>
        <w:rPr>
          <w:rFonts w:hAnsi="宋体" w:cs="宋体"/>
          <w:bCs/>
          <w:sz w:val="24"/>
          <w:szCs w:val="24"/>
        </w:rPr>
      </w:pPr>
      <w:r>
        <w:rPr>
          <w:rFonts w:hint="eastAsia" w:hAnsi="宋体" w:cs="宋体"/>
          <w:b/>
          <w:sz w:val="24"/>
          <w:szCs w:val="24"/>
        </w:rPr>
        <w:t>第三十一条</w:t>
      </w:r>
      <w:r>
        <w:rPr>
          <w:rFonts w:hint="eastAsia" w:hAnsi="宋体" w:cs="宋体"/>
          <w:bCs/>
          <w:sz w:val="24"/>
          <w:szCs w:val="24"/>
        </w:rPr>
        <w:t xml:space="preserve"> 学校定期开展实验室工作的检查、评比活动，奖优惩劣。因渎职而酿成事故者，视情节轻重进行批评教育、行政处分，直至追究法律责任。主要考核指标为：</w:t>
      </w:r>
    </w:p>
    <w:p>
      <w:pPr>
        <w:pStyle w:val="5"/>
        <w:spacing w:line="480" w:lineRule="exact"/>
        <w:ind w:firstLine="480" w:firstLineChars="200"/>
        <w:rPr>
          <w:rFonts w:hAnsi="宋体" w:cs="宋体"/>
          <w:bCs/>
          <w:sz w:val="24"/>
          <w:szCs w:val="24"/>
        </w:rPr>
      </w:pPr>
      <w:r>
        <w:rPr>
          <w:rFonts w:hint="eastAsia" w:hAnsi="宋体" w:cs="宋体"/>
          <w:bCs/>
          <w:sz w:val="24"/>
          <w:szCs w:val="24"/>
        </w:rPr>
        <w:t>（一）实验人员每学期须相互观摩实验课2节；</w:t>
      </w:r>
    </w:p>
    <w:p>
      <w:pPr>
        <w:pStyle w:val="5"/>
        <w:spacing w:line="480" w:lineRule="exact"/>
        <w:ind w:firstLine="480" w:firstLineChars="200"/>
        <w:rPr>
          <w:rFonts w:hAnsi="宋体" w:cs="宋体"/>
          <w:bCs/>
          <w:sz w:val="24"/>
          <w:szCs w:val="24"/>
        </w:rPr>
      </w:pPr>
      <w:r>
        <w:rPr>
          <w:rFonts w:hint="eastAsia" w:hAnsi="宋体" w:cs="宋体"/>
          <w:bCs/>
          <w:sz w:val="24"/>
          <w:szCs w:val="24"/>
        </w:rPr>
        <w:t>（二）实验室实验教学科目开出率达到100%，运行记录规范、齐全；</w:t>
      </w:r>
    </w:p>
    <w:p>
      <w:pPr>
        <w:pStyle w:val="5"/>
        <w:spacing w:line="480" w:lineRule="exact"/>
        <w:ind w:firstLine="480" w:firstLineChars="200"/>
        <w:rPr>
          <w:rFonts w:hAnsi="宋体" w:cs="宋体"/>
          <w:bCs/>
          <w:sz w:val="24"/>
          <w:szCs w:val="24"/>
        </w:rPr>
      </w:pPr>
      <w:r>
        <w:rPr>
          <w:rFonts w:hint="eastAsia" w:hAnsi="宋体" w:cs="宋体"/>
          <w:bCs/>
          <w:sz w:val="24"/>
          <w:szCs w:val="24"/>
        </w:rPr>
        <w:t>（三）实验室仪器设备完好率达到95%以上；</w:t>
      </w:r>
    </w:p>
    <w:p>
      <w:pPr>
        <w:pStyle w:val="5"/>
        <w:spacing w:line="480" w:lineRule="exact"/>
        <w:ind w:firstLine="480" w:firstLineChars="200"/>
        <w:rPr>
          <w:rFonts w:hAnsi="宋体" w:cs="宋体"/>
          <w:bCs/>
          <w:sz w:val="24"/>
          <w:szCs w:val="24"/>
        </w:rPr>
      </w:pPr>
      <w:r>
        <w:rPr>
          <w:rFonts w:hint="eastAsia" w:hAnsi="宋体" w:cs="宋体"/>
          <w:bCs/>
          <w:sz w:val="24"/>
          <w:szCs w:val="24"/>
        </w:rPr>
        <w:t>（四）实验室仪器设备利用率达到90%以上；</w:t>
      </w:r>
    </w:p>
    <w:p>
      <w:pPr>
        <w:pStyle w:val="5"/>
        <w:spacing w:line="480" w:lineRule="exact"/>
        <w:ind w:firstLine="480" w:firstLineChars="200"/>
        <w:rPr>
          <w:rFonts w:hAnsi="宋体" w:cs="宋体"/>
          <w:bCs/>
          <w:sz w:val="24"/>
          <w:szCs w:val="24"/>
        </w:rPr>
      </w:pPr>
      <w:r>
        <w:rPr>
          <w:rFonts w:hint="eastAsia" w:hAnsi="宋体" w:cs="宋体"/>
          <w:bCs/>
          <w:sz w:val="24"/>
          <w:szCs w:val="24"/>
        </w:rPr>
        <w:t>（五）实验室仪器设备更新率8%；</w:t>
      </w:r>
    </w:p>
    <w:p>
      <w:pPr>
        <w:pStyle w:val="5"/>
        <w:spacing w:line="480" w:lineRule="exact"/>
        <w:ind w:firstLine="480" w:firstLineChars="200"/>
        <w:rPr>
          <w:rFonts w:hAnsi="宋体" w:cs="宋体"/>
          <w:bCs/>
          <w:sz w:val="24"/>
          <w:szCs w:val="24"/>
        </w:rPr>
      </w:pPr>
      <w:r>
        <w:rPr>
          <w:rFonts w:hint="eastAsia" w:hAnsi="宋体" w:cs="宋体"/>
          <w:bCs/>
          <w:sz w:val="24"/>
          <w:szCs w:val="24"/>
        </w:rPr>
        <w:t>（六）实验室仪器设备帐、物、卡相符率100%；</w:t>
      </w:r>
    </w:p>
    <w:p>
      <w:pPr>
        <w:pStyle w:val="5"/>
        <w:spacing w:line="480" w:lineRule="exact"/>
        <w:ind w:firstLine="480" w:firstLineChars="200"/>
        <w:rPr>
          <w:rFonts w:hAnsi="宋体" w:cs="宋体"/>
          <w:bCs/>
          <w:sz w:val="24"/>
          <w:szCs w:val="24"/>
        </w:rPr>
      </w:pPr>
      <w:r>
        <w:rPr>
          <w:rFonts w:hint="eastAsia" w:hAnsi="宋体" w:cs="宋体"/>
          <w:bCs/>
          <w:sz w:val="24"/>
          <w:szCs w:val="24"/>
        </w:rPr>
        <w:t>（七）实验室低值耐用品、低值易耗品使用记录完整；</w:t>
      </w:r>
    </w:p>
    <w:p>
      <w:pPr>
        <w:pStyle w:val="5"/>
        <w:spacing w:line="480" w:lineRule="exact"/>
        <w:ind w:firstLine="480" w:firstLineChars="200"/>
        <w:rPr>
          <w:rFonts w:hAnsi="宋体" w:cs="宋体"/>
          <w:bCs/>
          <w:sz w:val="24"/>
          <w:szCs w:val="24"/>
        </w:rPr>
      </w:pPr>
      <w:r>
        <w:rPr>
          <w:rFonts w:hint="eastAsia" w:hAnsi="宋体" w:cs="宋体"/>
          <w:bCs/>
          <w:sz w:val="24"/>
          <w:szCs w:val="24"/>
        </w:rPr>
        <w:t>（八）发生一次实验事故的 ，取消全年评优资格。</w:t>
      </w:r>
    </w:p>
    <w:p>
      <w:pPr>
        <w:pStyle w:val="5"/>
        <w:spacing w:line="480" w:lineRule="exact"/>
        <w:rPr>
          <w:rFonts w:hAnsi="宋体" w:cs="宋体"/>
          <w:bCs/>
          <w:sz w:val="24"/>
          <w:szCs w:val="24"/>
        </w:rPr>
      </w:pPr>
    </w:p>
    <w:p>
      <w:pPr>
        <w:pStyle w:val="5"/>
        <w:numPr>
          <w:ilvl w:val="0"/>
          <w:numId w:val="1"/>
        </w:numPr>
        <w:spacing w:line="480" w:lineRule="exact"/>
        <w:ind w:firstLine="420"/>
        <w:jc w:val="center"/>
        <w:rPr>
          <w:rFonts w:ascii="黑体" w:hAnsi="黑体" w:eastAsia="黑体" w:cs="黑体"/>
          <w:bCs/>
          <w:sz w:val="32"/>
          <w:szCs w:val="32"/>
        </w:rPr>
      </w:pPr>
      <w:r>
        <w:rPr>
          <w:rFonts w:hint="eastAsia" w:ascii="黑体" w:hAnsi="黑体" w:eastAsia="黑体" w:cs="黑体"/>
          <w:bCs/>
          <w:sz w:val="32"/>
          <w:szCs w:val="32"/>
        </w:rPr>
        <w:t>　附则</w:t>
      </w:r>
    </w:p>
    <w:p>
      <w:pPr>
        <w:pStyle w:val="5"/>
        <w:spacing w:line="480" w:lineRule="exact"/>
        <w:rPr>
          <w:rFonts w:hAnsi="宋体" w:cs="宋体"/>
          <w:bCs/>
          <w:sz w:val="24"/>
          <w:szCs w:val="24"/>
        </w:rPr>
      </w:pPr>
    </w:p>
    <w:p>
      <w:pPr>
        <w:pStyle w:val="5"/>
        <w:spacing w:line="480" w:lineRule="exact"/>
        <w:ind w:firstLine="434" w:firstLineChars="180"/>
        <w:rPr>
          <w:rFonts w:hAnsi="宋体" w:cs="宋体"/>
          <w:sz w:val="24"/>
          <w:szCs w:val="24"/>
        </w:rPr>
      </w:pPr>
      <w:r>
        <w:rPr>
          <w:rFonts w:hint="eastAsia" w:hAnsi="宋体" w:cs="宋体"/>
          <w:b/>
          <w:sz w:val="24"/>
          <w:szCs w:val="24"/>
        </w:rPr>
        <w:t>第三十二条</w:t>
      </w:r>
      <w:r>
        <w:rPr>
          <w:rFonts w:hint="eastAsia" w:hAnsi="宋体" w:cs="宋体"/>
          <w:bCs/>
          <w:sz w:val="24"/>
          <w:szCs w:val="24"/>
        </w:rPr>
        <w:t xml:space="preserve"> </w:t>
      </w:r>
      <w:r>
        <w:rPr>
          <w:rFonts w:hint="eastAsia" w:hAnsi="宋体" w:cs="宋体"/>
          <w:sz w:val="24"/>
          <w:szCs w:val="24"/>
        </w:rPr>
        <w:t>本办法自颁布之日起执行，由实验室与设备管理处负责解释。</w:t>
      </w:r>
    </w:p>
    <w:p>
      <w:pPr>
        <w:widowControl/>
        <w:spacing w:line="480" w:lineRule="exact"/>
        <w:jc w:val="center"/>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spacing w:line="480" w:lineRule="exact"/>
        <w:rPr>
          <w:rFonts w:ascii="宋体"/>
          <w:b/>
          <w:bCs/>
          <w:sz w:val="36"/>
          <w:szCs w:val="36"/>
        </w:rPr>
      </w:pPr>
    </w:p>
    <w:p>
      <w:pPr>
        <w:widowControl/>
        <w:jc w:val="left"/>
        <w:rPr>
          <w:rFonts w:ascii="宋体"/>
          <w:b/>
          <w:bCs/>
          <w:sz w:val="36"/>
          <w:szCs w:val="36"/>
        </w:rPr>
      </w:pPr>
      <w:r>
        <w:rPr>
          <w:rFonts w:ascii="宋体"/>
          <w:b/>
          <w:bCs/>
          <w:sz w:val="36"/>
          <w:szCs w:val="36"/>
        </w:rPr>
        <w:br w:type="page"/>
      </w:r>
    </w:p>
    <w:p>
      <w:pPr>
        <w:pStyle w:val="2"/>
      </w:pPr>
      <w:bookmarkStart w:id="10" w:name="_Toc46402430"/>
      <w:bookmarkStart w:id="11" w:name="_Toc29086"/>
      <w:bookmarkStart w:id="12" w:name="_Toc13700"/>
      <w:bookmarkStart w:id="13" w:name="_Toc31148"/>
      <w:bookmarkStart w:id="14" w:name="_Toc2825"/>
      <w:r>
        <w:rPr>
          <w:rFonts w:hint="eastAsia"/>
        </w:rPr>
        <w:t>衢州学院实验室安全管理办法</w:t>
      </w:r>
      <w:bookmarkEnd w:id="10"/>
    </w:p>
    <w:p>
      <w:pPr>
        <w:widowControl/>
        <w:adjustRightInd w:val="0"/>
        <w:snapToGrid w:val="0"/>
        <w:spacing w:line="300" w:lineRule="exact"/>
        <w:ind w:firstLine="560" w:firstLineChars="200"/>
        <w:rPr>
          <w:rFonts w:ascii="宋体" w:hAnsi="宋体" w:cs="Arial"/>
          <w:color w:val="000000"/>
          <w:kern w:val="0"/>
        </w:rPr>
      </w:pPr>
    </w:p>
    <w:p>
      <w:pPr>
        <w:widowControl/>
        <w:numPr>
          <w:ilvl w:val="0"/>
          <w:numId w:val="2"/>
        </w:numPr>
        <w:adjustRightInd w:val="0"/>
        <w:snapToGrid w:val="0"/>
        <w:spacing w:line="480" w:lineRule="exact"/>
        <w:ind w:firstLine="640" w:firstLineChars="200"/>
        <w:jc w:val="center"/>
        <w:rPr>
          <w:rFonts w:ascii="黑体" w:hAnsi="宋体" w:eastAsia="黑体"/>
          <w:color w:val="000000"/>
          <w:kern w:val="0"/>
          <w:sz w:val="32"/>
          <w:szCs w:val="32"/>
        </w:rPr>
      </w:pPr>
      <w:r>
        <w:rPr>
          <w:rFonts w:hint="eastAsia" w:ascii="黑体" w:hAnsi="宋体" w:eastAsia="黑体"/>
          <w:color w:val="000000"/>
          <w:kern w:val="0"/>
          <w:sz w:val="32"/>
          <w:szCs w:val="32"/>
        </w:rPr>
        <w:t xml:space="preserve"> 总则</w:t>
      </w:r>
    </w:p>
    <w:p>
      <w:pPr>
        <w:widowControl/>
        <w:adjustRightInd w:val="0"/>
        <w:snapToGrid w:val="0"/>
        <w:spacing w:line="480" w:lineRule="exact"/>
        <w:rPr>
          <w:rFonts w:ascii="黑体" w:hAnsi="宋体" w:eastAsia="黑体"/>
          <w:color w:val="000000"/>
          <w:kern w:val="0"/>
          <w:sz w:val="32"/>
          <w:szCs w:val="32"/>
        </w:rPr>
      </w:pP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第一条 </w:t>
      </w:r>
      <w:r>
        <w:rPr>
          <w:rFonts w:hint="eastAsia" w:ascii="宋体" w:hAnsi="宋体"/>
          <w:color w:val="000000"/>
          <w:kern w:val="0"/>
          <w:sz w:val="24"/>
          <w:szCs w:val="24"/>
        </w:rPr>
        <w:t xml:space="preserve"> 为进一步加强实验室安全管理，预防和减少实验室安全事故的发生，保障师生员工生命和学校财产安全，维护教学、科研等工作的正常秩序，根据《高等学校实验室工作规程》《危险化学品安全管理条例》和《浙江省高等学校实验室安全管理办法》等有关规定，结合我校实际，制定本办法。</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第二条 </w:t>
      </w:r>
      <w:r>
        <w:rPr>
          <w:rFonts w:hint="eastAsia" w:ascii="宋体" w:hAnsi="宋体"/>
          <w:color w:val="000000"/>
          <w:kern w:val="0"/>
          <w:sz w:val="24"/>
          <w:szCs w:val="24"/>
        </w:rPr>
        <w:t xml:space="preserve"> 本办法中的实验室是指学校开展教学、科研等活动的所有实验场所。实验室安全工作是校园综合治理和平安校园建设的重要组成部分，创建安全、卫生的实验室工作环境是各单位及广大师生员工的共同责任和义务。</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第三条  </w:t>
      </w:r>
      <w:r>
        <w:rPr>
          <w:rFonts w:hint="eastAsia" w:ascii="宋体" w:hAnsi="宋体"/>
          <w:color w:val="000000"/>
          <w:kern w:val="0"/>
          <w:sz w:val="24"/>
          <w:szCs w:val="24"/>
        </w:rPr>
        <w:t>学校法定代表人是学校实验室安全责任人，全面负责学校实验室安全工作。分管学校实验室工作的校领导是学校实验室安全管理人，协助学校法定代表人负责实验室安全工作。其他校领导在分管工作范围内对实验室安全工作负有监督、检查、教育和管理职责。</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第四条 </w:t>
      </w:r>
      <w:r>
        <w:rPr>
          <w:rFonts w:hint="eastAsia" w:ascii="宋体" w:hAnsi="宋体"/>
          <w:color w:val="000000"/>
          <w:kern w:val="0"/>
          <w:sz w:val="24"/>
          <w:szCs w:val="24"/>
        </w:rPr>
        <w:t xml:space="preserve"> 学校实验室安全贯彻“以人为本、安全第一、预防为主、综合治理”的方针。根据“谁使用、谁负责，谁主管、谁负责”的原则，学校实验室安全管理人、各学院（中心）责任人、各实验室负责人（实验用房使用者）之间应层层签订安全责任书，逐级分层落实安全责任制。</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第五条  </w:t>
      </w:r>
      <w:r>
        <w:rPr>
          <w:rFonts w:hint="eastAsia" w:ascii="宋体" w:hAnsi="宋体"/>
          <w:color w:val="000000"/>
          <w:kern w:val="0"/>
          <w:sz w:val="24"/>
          <w:szCs w:val="24"/>
        </w:rPr>
        <w:t>各学院（中心）要定期组织开展实验室安全教育和宣传工作，丰富师生的安全知识，提高师生的安全意识和安全工作技能，营造浓厚的实验室安全工作氛围。</w:t>
      </w:r>
    </w:p>
    <w:p>
      <w:pPr>
        <w:widowControl/>
        <w:adjustRightInd w:val="0"/>
        <w:snapToGrid w:val="0"/>
        <w:spacing w:line="480" w:lineRule="exact"/>
        <w:jc w:val="center"/>
        <w:rPr>
          <w:rFonts w:ascii="黑体" w:hAnsi="黑体" w:eastAsia="黑体" w:cs="黑体"/>
          <w:color w:val="000000"/>
          <w:kern w:val="0"/>
          <w:sz w:val="32"/>
          <w:szCs w:val="32"/>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第二章 实验室安全管理体系</w:t>
      </w:r>
    </w:p>
    <w:p>
      <w:pPr>
        <w:widowControl/>
        <w:adjustRightInd w:val="0"/>
        <w:snapToGrid w:val="0"/>
        <w:spacing w:line="480" w:lineRule="exact"/>
        <w:ind w:firstLine="482" w:firstLineChars="200"/>
        <w:rPr>
          <w:rFonts w:ascii="宋体" w:hAnsi="宋体"/>
          <w:b/>
          <w:color w:val="000000"/>
          <w:kern w:val="0"/>
          <w:sz w:val="24"/>
          <w:szCs w:val="24"/>
        </w:rPr>
      </w:pP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第六条</w:t>
      </w:r>
      <w:r>
        <w:rPr>
          <w:rFonts w:hint="eastAsia" w:ascii="宋体" w:hAnsi="宋体"/>
          <w:color w:val="000000"/>
          <w:kern w:val="0"/>
          <w:sz w:val="24"/>
          <w:szCs w:val="24"/>
        </w:rPr>
        <w:t xml:space="preserve">  实验室与设备管理处作为我校实验室安全工作的主要职能部门。其主要职责为：全面贯彻落实国家和省市关于高校实验室安全工作的法律法规；组织制定实验室安全工作规章制度、责任体系和应急预案；指导、督查、协调各相关单位做好实验室安全教育培训和管理工作；定期、不定期组织开展或参与实验室安全检查和安全演练，将发现的问题及时通知有关单位并督促整改。</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第七条</w:t>
      </w:r>
      <w:r>
        <w:rPr>
          <w:rFonts w:hint="eastAsia" w:ascii="宋体" w:hAnsi="宋体"/>
          <w:color w:val="000000"/>
          <w:kern w:val="0"/>
          <w:sz w:val="24"/>
          <w:szCs w:val="24"/>
        </w:rPr>
        <w:t xml:space="preserve">  保卫处要协调做好实验室安全的监督、检查、教育和管理工作；其他各相关职能部门要做好与实验室安全相关的工作，包括加强对实验用房的安全性审批，加强实验室消防、报警等安全基础设施建设和改造，加强对科研实验项目的安全性评估和申报工作的指导。</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第八条</w:t>
      </w:r>
      <w:r>
        <w:rPr>
          <w:rFonts w:hint="eastAsia" w:ascii="宋体" w:hAnsi="宋体"/>
          <w:color w:val="000000"/>
          <w:kern w:val="0"/>
          <w:sz w:val="24"/>
          <w:szCs w:val="24"/>
        </w:rPr>
        <w:t xml:space="preserve">  各学院（中心）行政负责人是本单位实验室安全第一责任人，应代表所在单位与学校签署《实验室安全责任书》，落实本单位实验室安全负责人和安全员，全面负责本单位的实验室安全工作。各学院（中心）主要职责为：组织建立实验室安全责任体系，逐层签订《实验室安全责任书》；健全实验用房相关安全规章制度，制定本单位的实验室安全工作计划并组织实施；开展本单位安全教育及培训；组织、协调、督促各所属实验室做好安全工作；定期、不定期组织实验室安全检查，并组织落实隐患整改。</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第九条</w:t>
      </w:r>
      <w:r>
        <w:rPr>
          <w:rFonts w:hint="eastAsia" w:ascii="宋体" w:hAnsi="宋体"/>
          <w:color w:val="000000"/>
          <w:kern w:val="0"/>
          <w:sz w:val="24"/>
          <w:szCs w:val="24"/>
        </w:rPr>
        <w:t xml:space="preserve">  各实验室负责人（实验用房使用者）是本实验室（用房）的直接安全责任人，其主要职责：负责实验室（用房）日常安全管理工作；结合科研实验项目的安全要求，做好本实验室（用房）安全设施的建设和管理；建立本实验用房内的安全管理台账和物品管理台帐（包括设备、试剂药品、剧毒品等）；根据实验危险等级情况，负责对本实验室（用房）工作人员进行安全、环保教育和培训，对临时来访人员进行安全告知与管理。</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第十条</w:t>
      </w:r>
      <w:r>
        <w:rPr>
          <w:rFonts w:hint="eastAsia" w:ascii="宋体" w:hAnsi="宋体"/>
          <w:color w:val="000000"/>
          <w:kern w:val="0"/>
          <w:sz w:val="24"/>
          <w:szCs w:val="24"/>
        </w:rPr>
        <w:t xml:space="preserve">  在实验室学习、工作的所有人员均对实验室安全工作和自身安全负有责任，必须遵循各项实验室安全管理制度，做好实验项目安全状况自我申报工作，严格按照实验操作规程或实验指导书开展实验，配合各级安全责任人和管理者做好实验室安全工作，排除安全隐患，避免发生安全事故。实验指导老师要提高实验室安全责任意识，切实加强对学生的教育和管理，落实安全措施；学生须严格遵守实验室规章制度，配合实验室管理工作。临时来访人员须遵守实验室的安全规定。</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第十一条  </w:t>
      </w:r>
      <w:r>
        <w:rPr>
          <w:rFonts w:hint="eastAsia" w:ascii="宋体" w:hAnsi="宋体"/>
          <w:color w:val="000000"/>
          <w:kern w:val="0"/>
          <w:sz w:val="24"/>
          <w:szCs w:val="24"/>
        </w:rPr>
        <w:t>实验室安全工作是教师、实验技术人员和管理人员岗位评聘、晋职晋级、年度考核、评奖评优等学校评估考核内容的重要指标之一。对实验室安全管理工作突出的单位与个人给予表彰和奖励；对实验室安全管理工作不到位，出现重特大安全事故的单位，除应当追究单位领导、责任人和当事人的责任外，并取消该单位当年所有评奖评优参与资格，实行“一票否决制”；对因严重失职、渎职而造成重大损失或人员伤亡事故的，应依法追究有关人员的法律责任。</w:t>
      </w:r>
    </w:p>
    <w:p>
      <w:pPr>
        <w:widowControl/>
        <w:adjustRightInd w:val="0"/>
        <w:snapToGrid w:val="0"/>
        <w:spacing w:line="480" w:lineRule="exact"/>
        <w:rPr>
          <w:rFonts w:ascii="宋体" w:hAnsi="宋体"/>
          <w:color w:val="000000"/>
          <w:kern w:val="0"/>
          <w:sz w:val="24"/>
          <w:szCs w:val="24"/>
        </w:rPr>
      </w:pPr>
      <w:r>
        <w:rPr>
          <w:rFonts w:hint="eastAsia" w:ascii="宋体" w:hAnsi="宋体"/>
          <w:color w:val="000000"/>
          <w:kern w:val="0"/>
          <w:sz w:val="24"/>
          <w:szCs w:val="24"/>
        </w:rPr>
        <w:t xml:space="preserve"> </w:t>
      </w: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第三章 实验室安全管理内容</w:t>
      </w:r>
    </w:p>
    <w:p>
      <w:pPr>
        <w:widowControl/>
        <w:adjustRightInd w:val="0"/>
        <w:snapToGrid w:val="0"/>
        <w:spacing w:line="480" w:lineRule="exact"/>
        <w:ind w:left="560" w:leftChars="200"/>
        <w:rPr>
          <w:rFonts w:ascii="黑体" w:hAnsi="黑体" w:eastAsia="黑体" w:cs="黑体"/>
          <w:color w:val="000000"/>
          <w:kern w:val="0"/>
          <w:sz w:val="32"/>
          <w:szCs w:val="32"/>
        </w:rPr>
      </w:pP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第十二条 </w:t>
      </w:r>
      <w:r>
        <w:rPr>
          <w:rFonts w:hint="eastAsia" w:ascii="宋体" w:hAnsi="宋体"/>
          <w:color w:val="000000"/>
          <w:kern w:val="0"/>
          <w:sz w:val="24"/>
          <w:szCs w:val="24"/>
        </w:rPr>
        <w:t xml:space="preserve"> 实验室准入制度与项目安全审核制度</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建立和落实实验室准入制度。各学院（中心）应根据学科的特点，加强对师生员工和外来人员的实验室安全教育，严格执行实验室准入制度，通过相关部门、学校或所在学院（中心）组织的实验室安全教育考试者方可进入实验室学习和工作。</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建立科研项目安全审核制度。各学院（中心）要对存在安全危险因素的科研项目进行审核，尤其对承担化学、生物、辐射等具有安全隐患的科研项目要从严审核和监管，其实验室必须具备相应的安全设施、特殊实验室资质等条件。</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建立实验室建设与改造项目安全审核制度。各学院（中心）在申报或批准同意新建、扩建、改造实验场所或设施时，应健全审核把关的工作流程，必须充分考虑安全因素，加强实验室使用者和设计者、建设者之间的交流沟通，广泛听取意见，严格按照国家有关安全和环保的规范要求设计、施工；项目建成后，须经安全验收，完成相关的交接工作，明确管理维护单位和职责后方可投入使用。</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第十三条</w:t>
      </w:r>
      <w:r>
        <w:rPr>
          <w:rFonts w:hint="eastAsia" w:ascii="宋体" w:hAnsi="宋体"/>
          <w:color w:val="000000"/>
          <w:kern w:val="0"/>
          <w:sz w:val="24"/>
          <w:szCs w:val="24"/>
        </w:rPr>
        <w:t xml:space="preserve">  实验室化学安全管理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（一）使用危险化学品应认真贯彻国家《危险化学品安全管理条例》《常用化学危险品贮存通则》《放射性同位素与射线装置安全和防护条例》等有关规定，安全作业。</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建立健全实验室化学危险物品购置管理规范，使用、存放化学危险物品的实验室必须建立化学危险物品使用台账，建立从申购、领用、使用、回收、销毁的全过程记录和控制制度，确保物品台账与使用登记账、库存物资之间的账账相符、账物相符。配备专业的防护装备，规范化学危险物品使用和处置程序。剧毒品、易制毒品等化学品购置必须经公安部门审批。</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（三）规范建立化学危险物品存储仓库，并定期进行安全检查。化学危险物品的出入库登记、领取、检查、清理等应实施规范化管理。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四）对剧毒、放射性等危险物品的存储必须严格安全措施，实行“双人保管、双人收发、双人使用、双人运输、双把锁”的“五双”管理制度。放射性同位素应当单独存放，不得与易燃、易爆、腐蚀性物品一起存放。</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五）落实承压气瓶的存放、使用管理规定，气瓶使用前应进行安全状况检查，不符合安全技术要求的气瓶严禁入库和使用。易燃气体气瓶与助燃气体气瓶不得混合保存和放置；易燃气体及有毒气体气瓶必须安放在符合贮存条件的环境中，配备监测报警装置。各种压力气瓶竖直放置时，应采取防止倾倒的措施。对于超过检验期的气瓶应及时退库、送检。</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（六）废弃的危险化学品须交由有资质的单位统一收集处置。按照国家法律法规以及学校的相关规定，加强所有涉及危险化学品的教学、实验、科研和生产场所及其活动环节的安全监督与管理。</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第十四条</w:t>
      </w:r>
      <w:r>
        <w:rPr>
          <w:rFonts w:hint="eastAsia" w:ascii="宋体" w:hAnsi="宋体"/>
          <w:color w:val="000000"/>
          <w:kern w:val="0"/>
          <w:sz w:val="24"/>
          <w:szCs w:val="24"/>
        </w:rPr>
        <w:t xml:space="preserve">  实验室生物安全管理</w:t>
      </w:r>
    </w:p>
    <w:p>
      <w:pPr>
        <w:widowControl/>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学校生物安全主要涉及病原微生物安全、实验动物安全等方面。各单位要按照国家法律法规以及学校的相关规定，规范生化类试剂和用品的采购、实验操作、废弃物处理等工作程序，加强生物类实验室安全的管理，责任到人；加强生物安全实验室的建设、管理和备案工作，获取相应资质。实验室在生物安全方面的管理工作应严格遵守《</w:t>
      </w:r>
      <w:bookmarkStart w:id="15" w:name="OLE_LINK1"/>
      <w:r>
        <w:rPr>
          <w:rFonts w:hint="eastAsia" w:ascii="宋体" w:hAnsi="宋体"/>
          <w:color w:val="000000"/>
          <w:kern w:val="0"/>
          <w:sz w:val="24"/>
          <w:szCs w:val="24"/>
        </w:rPr>
        <w:t>病源微生物实验室生物安全管理条例</w:t>
      </w:r>
      <w:bookmarkEnd w:id="15"/>
      <w:r>
        <w:rPr>
          <w:rFonts w:hint="eastAsia" w:ascii="宋体" w:hAnsi="宋体"/>
          <w:color w:val="000000"/>
          <w:kern w:val="0"/>
          <w:sz w:val="24"/>
          <w:szCs w:val="24"/>
        </w:rPr>
        <w:t>》《实验动物管理条例》等相关规定。</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第十五条 </w:t>
      </w:r>
      <w:r>
        <w:rPr>
          <w:rFonts w:hint="eastAsia" w:ascii="宋体" w:hAnsi="宋体"/>
          <w:color w:val="000000"/>
          <w:kern w:val="0"/>
          <w:sz w:val="24"/>
          <w:szCs w:val="24"/>
        </w:rPr>
        <w:t xml:space="preserve"> 实验室辐射安全管理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辐射安全主要指放射性同位素（密封放射源和非密封放射性物质）和射线装置的安全。各涉辐单位必须按照国家法律法规和学校的相关规定，在获取环保部门颁发的《辐射安全许可证》后方能开展相关工作；加强涉辐场所安全及警示设施的建设，加强辐射装置和放射源的采购、保管、使用、备案等管理，规范涉辐废弃物的处置。涉辐人员应定期参加辐射安全与防护知识培训，持证上岗，定期参加职业病体检和接受个人剂量监测。</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第十六条 </w:t>
      </w:r>
      <w:r>
        <w:rPr>
          <w:rFonts w:hint="eastAsia" w:ascii="宋体" w:hAnsi="宋体"/>
          <w:color w:val="000000"/>
          <w:kern w:val="0"/>
          <w:sz w:val="24"/>
          <w:szCs w:val="24"/>
        </w:rPr>
        <w:t xml:space="preserve"> 实验废弃物的安全管理</w:t>
      </w:r>
    </w:p>
    <w:p>
      <w:pPr>
        <w:widowControl/>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实验室废弃物应分类收集，妥善贮存，并交由有资质的单位统一收集处置。不得随意排放废气、废液、废渣和噪声，不得污染环境。</w:t>
      </w:r>
    </w:p>
    <w:p>
      <w:pPr>
        <w:widowControl/>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化学废弃物应遵循兼容相存的原则，盛装化学废弃物的容器要密闭可靠，不破碎泄露。容器外加贴标签，注明废弃物内容和品名，及时送储。使用剧毒化学品实验产生的废液、容器等不得随意丢弃、掩埋或水冲，应先参照剧毒化学品安全处置相关规范进行无害化处理。</w:t>
      </w:r>
    </w:p>
    <w:p>
      <w:pPr>
        <w:widowControl/>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生物化学类实验废弃物应用黄色专用塑料袋进行包装分类收集，做好标识；锐器类废弃物需另行妥善包装；被病原微生物污染过的废弃物须先在实验室进行有效灭菌（灭活）后方可送储。实验动物尸体或脏器，应使用专用垃圾袋包装并贴上标签，置于动物中心专用冷柜储存，定期送具有资质的专业单位处置。</w:t>
      </w:r>
    </w:p>
    <w:p>
      <w:pPr>
        <w:widowControl/>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（三）放射性废弃物的处理和贮存应有专人负责，严格按照环保部门的法律法规进行处置。</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第十七条  </w:t>
      </w:r>
      <w:r>
        <w:rPr>
          <w:rFonts w:hint="eastAsia" w:ascii="宋体" w:hAnsi="宋体"/>
          <w:color w:val="000000"/>
          <w:kern w:val="0"/>
          <w:sz w:val="24"/>
          <w:szCs w:val="24"/>
        </w:rPr>
        <w:t>实验室仪器设备与操作的安全管理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（一）建立实验室仪器设备管理制度，落实专人做好实验室仪器设备的维护、保养工作，保证仪器设备安全运行，并做好相应台账。</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实验室必须对具有危险性和安全隐患的设备采取严密的安全防范措施。对高温加热、高压、冰箱、高辐射、高速运动等有潜在危险的仪器设备尤其要加强管理；精密仪器、大功率仪器设备、电气仪器设备必须有安全接地等安全保护措施；对于超期服役的设备应及时报废，消除安全隐患。</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（三）加强仪器设备操作人员的业务和安全培训，严格按照操作规程开展实验教学和科研工作。国家规定的特殊仪器设备管理和操作人员须持证上岗。</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（四）对于自制自研设备，要充分考虑安全因素，并严格按照设计规范和国家相关标准进行设计和制造，防止安全事故的发生。</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第十八条 </w:t>
      </w:r>
      <w:r>
        <w:rPr>
          <w:rFonts w:hint="eastAsia" w:ascii="宋体" w:hAnsi="宋体"/>
          <w:color w:val="000000"/>
          <w:kern w:val="0"/>
          <w:sz w:val="24"/>
          <w:szCs w:val="24"/>
        </w:rPr>
        <w:t xml:space="preserve"> 实验室水电安全管理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（一）规范实验室用电、用水管理，按相关规范安装用电、用水设施和设备，定期对实验室的电源、水源等进行检查，排查安全隐患，落实整改措施，并做好相关记录。</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实验室内必须使用空气开关，并配备漏电保护器；电气设备应配备足够用电功率的电气元件和负载电线，不得超负荷用电；电气设备和大型仪器须接地良好，对电线老化等隐患应当定期检查并及时排除。使用高压电源工作时，操作人员须穿绝缘鞋、戴绝缘手套并站在绝缘垫上。严禁用潮湿的手接触电器和用湿布擦电门，擦拭电器设备前应确认电源已全部切断。</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（三）实验室固定电源插座未经允许不得拆装、改线，不得乱接、乱拉电线，不得使用闸刀开关、木质配电板和花线等。</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（四）实验室严禁使用电加热器具（包括各种电炉、电取暖器、热得快、电吹风等）。确因工作需要，必须选择具有足够安全性能的加热设备，并落实安全防范措施，在使用完毕后拔掉插头。</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（五）化学类实验室不得使用明火电炉。确因工作需要且无法用其它加热设备替代时，在做好安全防范措施的前提下，经部门负责人同意并报实验室与设备管理处备案后方可使用。</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第十九条 </w:t>
      </w:r>
      <w:r>
        <w:rPr>
          <w:rFonts w:hint="eastAsia" w:ascii="宋体" w:hAnsi="宋体"/>
          <w:color w:val="000000"/>
          <w:kern w:val="0"/>
          <w:sz w:val="24"/>
          <w:szCs w:val="24"/>
        </w:rPr>
        <w:t xml:space="preserve"> 实验室安全设施管理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具有潜在安全隐患的实验室，须根据潜在危险因素配置消防器材（如灭火器、消防栓、防火门、防火闸等）、烟雾报警、监控系统、应急喷淋、洗眼装置、危险气体报警、通风系统（必要时需加装吸收系统）、防护罩、警戒隔离等安全设施，配备必要的防护用品，并切实做好更新、维护保养和检修工作，做好相关记录，确保其完好性。</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 xml:space="preserve">第二十条 </w:t>
      </w:r>
      <w:r>
        <w:rPr>
          <w:rFonts w:hint="eastAsia" w:ascii="宋体" w:hAnsi="宋体"/>
          <w:color w:val="000000"/>
          <w:kern w:val="0"/>
          <w:sz w:val="24"/>
          <w:szCs w:val="24"/>
        </w:rPr>
        <w:t xml:space="preserve"> 实验室的消防安全管理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（一）结合自身实验室工作实际，严格落实各项消防安全管理措施。</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（二）落实消防器材管理职责和措施，保证消防器材定点存放，性能良好，任何人不得损坏和挪作他用。过期的消防器材应当及时更换。疏散通道、安全出口、消防车通道等应保持畅通，禁止堆放杂物。</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（三）实验室管理人员应当接受消防安全知识和相关技能培训，熟悉本岗位的防火要求，掌握所配灭火器的使用方法，保证安全教学。</w:t>
      </w:r>
    </w:p>
    <w:p>
      <w:pPr>
        <w:widowControl/>
        <w:adjustRightInd w:val="0"/>
        <w:snapToGrid w:val="0"/>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第二十一条</w:t>
      </w:r>
      <w:r>
        <w:rPr>
          <w:rFonts w:hint="eastAsia" w:ascii="宋体" w:hAnsi="宋体"/>
          <w:color w:val="000000"/>
          <w:kern w:val="0"/>
          <w:sz w:val="24"/>
          <w:szCs w:val="24"/>
        </w:rPr>
        <w:t xml:space="preserve">  实验室安全内务管理</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（一）每个实验用房必须落实安全责任人，各学院（中心）须将实验室名称、责任人、有效联系电话等信息统一制牌，并放置在明显位置，便于督查和联系。</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（二）实验室应建立卫生值日制度，保持清洁整齐，仪器设备布局合理。要处理好实验材料、实验剩余物和废弃物，及时清除室内外垃圾，不得在实验室堆放杂物。</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三）各学院（中心）必须安排专人负责实验室钥匙的配发和管理，不得私自配置钥匙或借给他人使用；使用电子门禁的大楼和实验室，必须对各类人员设置相应的权限，对门禁卡丢失、人员调动或离校等情况应及时办理报失或移交手续。</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（四）严禁在实验室区域吸烟、烹饪、用膳，不得让与工作无关的外来人员进入实验室，不得在实验室内留宿和进行娱乐活动等。</w:t>
      </w:r>
    </w:p>
    <w:p>
      <w:pPr>
        <w:widowControl/>
        <w:adjustRightInd w:val="0"/>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（五）实验结束或离开实验室时，必须按规定采取结束或暂离实验的措施，并查看仪器设备、水、电、气和门窗关闭等情况。</w:t>
      </w:r>
    </w:p>
    <w:p>
      <w:pPr>
        <w:widowControl/>
        <w:adjustRightInd w:val="0"/>
        <w:snapToGrid w:val="0"/>
        <w:spacing w:line="480" w:lineRule="exact"/>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第四章 实验室安全检查、整改与应急处置</w:t>
      </w:r>
    </w:p>
    <w:p>
      <w:pPr>
        <w:widowControl/>
        <w:adjustRightInd w:val="0"/>
        <w:snapToGrid w:val="0"/>
        <w:spacing w:line="480" w:lineRule="exact"/>
        <w:ind w:left="560" w:leftChars="200"/>
        <w:rPr>
          <w:rFonts w:ascii="宋体" w:hAnsi="宋体"/>
          <w:color w:val="000000"/>
          <w:kern w:val="0"/>
          <w:sz w:val="24"/>
          <w:szCs w:val="24"/>
        </w:rPr>
      </w:pPr>
    </w:p>
    <w:p>
      <w:pPr>
        <w:widowControl/>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第二十二条</w:t>
      </w:r>
      <w:r>
        <w:rPr>
          <w:rFonts w:hint="eastAsia" w:ascii="宋体" w:hAnsi="宋体"/>
          <w:color w:val="000000"/>
          <w:kern w:val="0"/>
          <w:sz w:val="24"/>
          <w:szCs w:val="24"/>
        </w:rPr>
        <w:t xml:space="preserve">  加强实验室安全与卫生检查。各学院（中心）、实验室须建立实验室安全与卫生检查制度，定期进行实验室安全自查并做好记录，对发现的问题和隐患及时梳理，分清责任并组织整改。学校每季度至少进行一次实验室安全检查。各学院（中心）每月至少进行一次实验室安全检查。</w:t>
      </w:r>
    </w:p>
    <w:p>
      <w:pPr>
        <w:widowControl/>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第二十三条</w:t>
      </w:r>
      <w:r>
        <w:rPr>
          <w:rFonts w:hint="eastAsia" w:ascii="宋体" w:hAnsi="宋体"/>
          <w:color w:val="000000"/>
          <w:kern w:val="0"/>
          <w:sz w:val="24"/>
          <w:szCs w:val="24"/>
        </w:rPr>
        <w:t xml:space="preserve">  安全隐患整改。各实验室发现存在安全隐患，要及时采取整改措施。发现严重安全隐患或一时无法解决，须向所在学院（中心）、实验室与设备管理处、保卫处报告。对安全隐患或安全事故，任何单位和个人不得隐瞒不报或拖延上报。</w:t>
      </w:r>
    </w:p>
    <w:p>
      <w:pPr>
        <w:widowControl/>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第二十四条</w:t>
      </w:r>
      <w:r>
        <w:rPr>
          <w:rFonts w:hint="eastAsia" w:ascii="宋体" w:hAnsi="宋体"/>
          <w:color w:val="000000"/>
          <w:kern w:val="0"/>
          <w:sz w:val="24"/>
          <w:szCs w:val="24"/>
        </w:rPr>
        <w:t xml:space="preserve"> 实验室安全事故应急处置。实验室发生意外事故，事发单位应按照《衢州学院实验室突发安全事故应急预案》立即启动相应预案，做好应急处置工作，保护好现场，并及时报告实验室与设备管理处及保卫处。事发单位应配合调查和处理，写出事故报告，交实验室与设备管理处及保卫处备案。</w:t>
      </w:r>
    </w:p>
    <w:p>
      <w:pPr>
        <w:widowControl/>
        <w:spacing w:line="480" w:lineRule="exact"/>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eastAsia="黑体" w:cs="Calibri"/>
          <w:color w:val="000000"/>
          <w:kern w:val="0"/>
          <w:sz w:val="32"/>
          <w:szCs w:val="32"/>
        </w:rPr>
        <w:t xml:space="preserve">第五章 </w:t>
      </w:r>
      <w:r>
        <w:rPr>
          <w:rFonts w:eastAsia="黑体" w:cs="Calibri"/>
          <w:color w:val="000000"/>
          <w:kern w:val="0"/>
          <w:sz w:val="32"/>
          <w:szCs w:val="32"/>
        </w:rPr>
        <w:t> </w:t>
      </w:r>
      <w:r>
        <w:rPr>
          <w:rFonts w:hint="eastAsia" w:ascii="黑体" w:hAnsi="黑体" w:eastAsia="黑体" w:cs="黑体"/>
          <w:color w:val="000000"/>
          <w:kern w:val="0"/>
          <w:sz w:val="32"/>
          <w:szCs w:val="32"/>
        </w:rPr>
        <w:t>附则</w:t>
      </w:r>
    </w:p>
    <w:p>
      <w:pPr>
        <w:widowControl/>
        <w:adjustRightInd w:val="0"/>
        <w:snapToGrid w:val="0"/>
        <w:spacing w:line="480" w:lineRule="exact"/>
        <w:ind w:left="560" w:leftChars="200"/>
        <w:rPr>
          <w:rFonts w:ascii="宋体" w:hAnsi="宋体"/>
          <w:color w:val="000000"/>
          <w:kern w:val="0"/>
          <w:sz w:val="24"/>
          <w:szCs w:val="24"/>
        </w:rPr>
      </w:pPr>
    </w:p>
    <w:p>
      <w:pPr>
        <w:widowControl/>
        <w:spacing w:line="480" w:lineRule="exact"/>
        <w:ind w:firstLine="482" w:firstLineChars="200"/>
        <w:rPr>
          <w:rFonts w:ascii="宋体" w:hAnsi="宋体"/>
          <w:color w:val="000000"/>
          <w:kern w:val="0"/>
          <w:sz w:val="24"/>
          <w:szCs w:val="24"/>
        </w:rPr>
      </w:pPr>
      <w:r>
        <w:rPr>
          <w:rFonts w:hint="eastAsia" w:ascii="宋体" w:hAnsi="宋体"/>
          <w:b/>
          <w:color w:val="000000"/>
          <w:kern w:val="0"/>
          <w:sz w:val="24"/>
          <w:szCs w:val="24"/>
        </w:rPr>
        <w:t>第二十五条</w:t>
      </w:r>
      <w:r>
        <w:rPr>
          <w:rFonts w:hint="eastAsia" w:ascii="宋体" w:hAnsi="宋体"/>
          <w:color w:val="000000"/>
          <w:kern w:val="0"/>
          <w:sz w:val="24"/>
          <w:szCs w:val="24"/>
        </w:rPr>
        <w:t xml:space="preserve">  各有关单位应根据本办法，结合实际情况另行制定相应的实施细则或管理规定。本办法未尽事项，按国家有关法律法规执行。</w:t>
      </w:r>
    </w:p>
    <w:p>
      <w:pPr>
        <w:widowControl/>
        <w:spacing w:line="480" w:lineRule="exact"/>
        <w:ind w:firstLine="482" w:firstLineChars="200"/>
        <w:rPr>
          <w:rFonts w:ascii="仿宋_GB2312" w:eastAsia="仿宋_GB2312"/>
        </w:rPr>
      </w:pPr>
      <w:r>
        <w:rPr>
          <w:rFonts w:hint="eastAsia" w:ascii="宋体" w:hAnsi="宋体"/>
          <w:b/>
          <w:color w:val="000000"/>
          <w:kern w:val="0"/>
          <w:sz w:val="24"/>
          <w:szCs w:val="24"/>
        </w:rPr>
        <w:t>第二十六条</w:t>
      </w:r>
      <w:r>
        <w:rPr>
          <w:rFonts w:hint="eastAsia" w:ascii="宋体" w:hAnsi="宋体"/>
          <w:color w:val="000000"/>
          <w:kern w:val="0"/>
          <w:sz w:val="24"/>
          <w:szCs w:val="24"/>
        </w:rPr>
        <w:t xml:space="preserve">  本办法由实验室与设备管理处负责解释，自颁布之日起施行。</w:t>
      </w:r>
      <w:r>
        <w:rPr>
          <w:rFonts w:hint="eastAsia" w:ascii="宋体" w:hAnsi="宋体"/>
          <w:color w:val="333333"/>
          <w:kern w:val="0"/>
          <w:sz w:val="24"/>
          <w:szCs w:val="24"/>
        </w:rPr>
        <w:t> </w:t>
      </w:r>
    </w:p>
    <w:p/>
    <w:p/>
    <w:p/>
    <w:p/>
    <w:p/>
    <w:p/>
    <w:p/>
    <w:p/>
    <w:p/>
    <w:p/>
    <w:p/>
    <w:p/>
    <w:p/>
    <w:p/>
    <w:p/>
    <w:p/>
    <w:p/>
    <w:p/>
    <w:p/>
    <w:p/>
    <w:p>
      <w:pPr>
        <w:rPr>
          <w:rFonts w:ascii="黑体" w:hAnsi="黑体" w:eastAsia="黑体" w:cs="黑体"/>
          <w:sz w:val="44"/>
          <w:szCs w:val="44"/>
        </w:rPr>
      </w:pPr>
    </w:p>
    <w:p>
      <w:pPr>
        <w:widowControl/>
        <w:jc w:val="left"/>
        <w:rPr>
          <w:rFonts w:ascii="黑体" w:hAnsi="黑体" w:eastAsia="黑体" w:cs="黑体"/>
          <w:sz w:val="44"/>
          <w:szCs w:val="44"/>
        </w:rPr>
      </w:pPr>
      <w:r>
        <w:rPr>
          <w:rFonts w:ascii="黑体" w:hAnsi="黑体" w:eastAsia="黑体" w:cs="黑体"/>
          <w:sz w:val="44"/>
          <w:szCs w:val="44"/>
        </w:rPr>
        <w:br w:type="page"/>
      </w:r>
    </w:p>
    <w:bookmarkEnd w:id="11"/>
    <w:bookmarkEnd w:id="12"/>
    <w:bookmarkEnd w:id="13"/>
    <w:bookmarkEnd w:id="14"/>
    <w:p>
      <w:pPr>
        <w:pStyle w:val="2"/>
      </w:pPr>
      <w:bookmarkStart w:id="16" w:name="_Toc46402431"/>
      <w:bookmarkStart w:id="17" w:name="_Toc308528382"/>
      <w:bookmarkStart w:id="18" w:name="_Toc308515059"/>
      <w:bookmarkStart w:id="19" w:name="_Toc308530290"/>
      <w:bookmarkStart w:id="20" w:name="_Toc13307"/>
      <w:r>
        <w:rPr>
          <w:rFonts w:hint="eastAsia"/>
        </w:rPr>
        <w:t>衢州学院实验室突发安全事故应急预案</w:t>
      </w:r>
      <w:bookmarkEnd w:id="16"/>
    </w:p>
    <w:p>
      <w:pPr>
        <w:widowControl/>
        <w:adjustRightInd w:val="0"/>
        <w:snapToGrid w:val="0"/>
        <w:spacing w:line="480" w:lineRule="exact"/>
        <w:jc w:val="center"/>
        <w:rPr>
          <w:rFonts w:ascii="黑体" w:hAnsi="黑体" w:eastAsia="黑体" w:cs="黑体"/>
          <w:color w:val="000000"/>
          <w:kern w:val="0"/>
          <w:sz w:val="32"/>
          <w:szCs w:val="32"/>
        </w:rPr>
      </w:pPr>
      <w:bookmarkStart w:id="21" w:name="_Toc509577221"/>
      <w:r>
        <w:rPr>
          <w:rFonts w:hint="eastAsia" w:ascii="黑体" w:hAnsi="黑体" w:eastAsia="黑体" w:cs="黑体"/>
          <w:color w:val="000000"/>
          <w:kern w:val="0"/>
          <w:sz w:val="32"/>
          <w:szCs w:val="32"/>
        </w:rPr>
        <w:t>第一章 总则</w:t>
      </w:r>
      <w:bookmarkEnd w:id="21"/>
    </w:p>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第一条</w:t>
      </w:r>
      <w:r>
        <w:rPr>
          <w:rFonts w:hint="eastAsia" w:ascii="宋体" w:hAnsi="宋体"/>
          <w:color w:val="000000"/>
          <w:kern w:val="0"/>
          <w:sz w:val="24"/>
          <w:szCs w:val="24"/>
        </w:rPr>
        <w:t xml:space="preserve"> 为规范实验室突发安全事故的应急管理和应急响应程序，及时有效地实施应急救援工作，最大程度地减少人员伤亡和财产损失，维护学校稳定。依据《中华人民共和国突发事件应对法》《国家突发公共卫生事件总体应急预案》等文件精神，结合学校实验室的实际情况，制定本预案。</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第二条</w:t>
      </w:r>
      <w:r>
        <w:rPr>
          <w:rFonts w:hint="eastAsia" w:ascii="宋体" w:hAnsi="宋体"/>
          <w:color w:val="000000"/>
          <w:kern w:val="0"/>
          <w:sz w:val="24"/>
          <w:szCs w:val="24"/>
        </w:rPr>
        <w:t xml:space="preserve"> 本预案所称实验室突发安全事故是指在学校实验室内开展实验活动的过程中，因自然、人为、技术或设备等因素而引发的化学、生物、辐射和特种设备及其他类安全事故。</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（一）化学类安全事故，是指实验室发生危险化学品泄漏、爆炸、中毒、丢失、被盗以及由危险化学品引发的火灾等事故。</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（二）生物类安全事故，是指实验室发生造成或可能造成危害社会公众健康和周围环境的传染性生物样品溢出、群体性异常反应、潜在危害性气溶胶释出以及其他严重影响身体健康和周围环境的安全事故。</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（三）辐射类安全事故，是指实验室发生放射性同位素丢失、被盗以及放射性同位素和射线装置失控导致人员受到意外的异常照射事故。</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（四）特种设备类安全事故，是指实验室发生由特种设备引发的火灾爆炸、易燃易爆或有毒介质及其他危险化学品泄漏、起重机倾覆、起重物失控等事故。</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第三条</w:t>
      </w:r>
      <w:r>
        <w:rPr>
          <w:rFonts w:hint="eastAsia" w:ascii="宋体" w:hAnsi="宋体"/>
          <w:color w:val="000000"/>
          <w:kern w:val="0"/>
          <w:sz w:val="24"/>
          <w:szCs w:val="24"/>
        </w:rPr>
        <w:t xml:space="preserve"> 坚持“以人为本，安全第一”“统一指挥，分级负责” “快速反应，积极自救” 和“预防为主，平战结合”的原则；实行校院两级管理，明确分工，依法规范。对突发安全事故反应迅速，科学处置。</w:t>
      </w:r>
    </w:p>
    <w:p>
      <w:pPr>
        <w:adjustRightInd w:val="0"/>
        <w:snapToGrid w:val="0"/>
        <w:spacing w:line="480" w:lineRule="exact"/>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第二章 </w:t>
      </w:r>
      <w:bookmarkStart w:id="22" w:name="_Toc509577222"/>
      <w:r>
        <w:rPr>
          <w:rFonts w:hint="eastAsia" w:ascii="黑体" w:hAnsi="黑体" w:eastAsia="黑体" w:cs="黑体"/>
          <w:color w:val="000000"/>
          <w:kern w:val="0"/>
          <w:sz w:val="32"/>
          <w:szCs w:val="32"/>
        </w:rPr>
        <w:t>应急组织体系及职责</w:t>
      </w:r>
      <w:bookmarkEnd w:id="22"/>
    </w:p>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第四条</w:t>
      </w:r>
      <w:r>
        <w:rPr>
          <w:rFonts w:hint="eastAsia" w:ascii="宋体" w:hAnsi="宋体"/>
          <w:color w:val="000000"/>
          <w:kern w:val="0"/>
          <w:sz w:val="24"/>
          <w:szCs w:val="24"/>
        </w:rPr>
        <w:t xml:space="preserve"> 学校成立实验室安全事故应急处置工作组，相关成员单位组成和职责如下:</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组  长:分管实验室工作的校领导</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副组长:实验室与设备管理处负责人、保卫处负责人</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成员单位及职责：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校长办公室负责应急事故全面协调职责；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保卫处、事故单位负责应急处置安全保卫职责；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后勤处负责应急处置物资、交通、水电、通信保障职责；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校医务室、事故单位负责应急处置抢救职责；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实验室与设备管理处、事故单位、校医务室负责应急处置技术保障职责。</w:t>
      </w:r>
    </w:p>
    <w:p>
      <w:pPr>
        <w:numPr>
          <w:ilvl w:val="0"/>
          <w:numId w:val="3"/>
        </w:num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 xml:space="preserve"> 各学院（中心）成立应急救援小组，负责制定本单位各类安全事故的应急预案，建立健全规章制度和操作规范。</w:t>
      </w:r>
    </w:p>
    <w:p>
      <w:pPr>
        <w:adjustRightInd w:val="0"/>
        <w:snapToGrid w:val="0"/>
        <w:spacing w:line="480" w:lineRule="exact"/>
        <w:ind w:left="630" w:leftChars="225"/>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第三章 </w:t>
      </w:r>
      <w:bookmarkStart w:id="23" w:name="_Toc509577223"/>
      <w:r>
        <w:rPr>
          <w:rFonts w:hint="eastAsia" w:ascii="黑体" w:hAnsi="黑体" w:eastAsia="黑体" w:cs="黑体"/>
          <w:color w:val="000000"/>
          <w:kern w:val="0"/>
          <w:sz w:val="32"/>
          <w:szCs w:val="32"/>
        </w:rPr>
        <w:t>预防与预测</w:t>
      </w:r>
      <w:bookmarkEnd w:id="23"/>
    </w:p>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预防。各学院（中心）须建立健全实验室技术安全管理制度和责任体系，明确各实验室安全责任人，确定各实验室技术安全重点部位和关键环节，加强实验室安全运行保障条件建设和实验室人员安全教育，建立健全实验室技术安全档案和使用登记制度，建立健全实验室安全巡查、检查、及时整改制度，建立健全“谁使用、谁管理、谁负责”的实验室安全事故追责机制。通过规范和强化实验室技术安全管理，认真贯彻落实各项安全管理规章制度，有效预防实验室安全事故的发生。</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第七条</w:t>
      </w:r>
      <w:r>
        <w:rPr>
          <w:rFonts w:hint="eastAsia" w:ascii="宋体" w:hAnsi="宋体"/>
          <w:color w:val="000000"/>
          <w:kern w:val="0"/>
          <w:sz w:val="24"/>
          <w:szCs w:val="24"/>
        </w:rPr>
        <w:t xml:space="preserve"> 预测。针对实验室危险化学品安全、辐射安全、生物安全、特种设备安全等方面可能发生的失窃、火灾、爆炸、泄漏、环境污染等安全事故，各学院（中心）应根据本单位的实际现状予以充分的评价与预测，并采取有效防范措施。并根据学科和实验室特点，制定相应的专项应急预案。</w:t>
      </w:r>
    </w:p>
    <w:p>
      <w:pPr>
        <w:adjustRightInd w:val="0"/>
        <w:snapToGrid w:val="0"/>
        <w:spacing w:line="480" w:lineRule="exact"/>
        <w:rPr>
          <w:rFonts w:ascii="黑体" w:hAnsi="黑体" w:eastAsia="黑体" w:cs="黑体"/>
          <w:color w:val="000000"/>
          <w:kern w:val="0"/>
          <w:sz w:val="32"/>
          <w:szCs w:val="32"/>
        </w:rPr>
      </w:pPr>
    </w:p>
    <w:p>
      <w:pPr>
        <w:widowControl/>
        <w:adjustRightInd w:val="0"/>
        <w:snapToGrid w:val="0"/>
        <w:spacing w:line="480" w:lineRule="exact"/>
        <w:jc w:val="center"/>
        <w:rPr>
          <w:rFonts w:ascii="黑体" w:hAnsi="黑体" w:eastAsia="黑体" w:cs="黑体"/>
          <w:color w:val="000000"/>
          <w:kern w:val="0"/>
          <w:sz w:val="32"/>
          <w:szCs w:val="32"/>
        </w:rPr>
      </w:pPr>
      <w:bookmarkStart w:id="24" w:name="_Toc509577224"/>
      <w:r>
        <w:rPr>
          <w:rFonts w:hint="eastAsia" w:ascii="黑体" w:hAnsi="黑体" w:eastAsia="黑体" w:cs="黑体"/>
          <w:color w:val="000000"/>
          <w:kern w:val="0"/>
          <w:sz w:val="32"/>
          <w:szCs w:val="32"/>
        </w:rPr>
        <w:t>第四章 应急处理</w:t>
      </w:r>
      <w:bookmarkEnd w:id="24"/>
    </w:p>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第八条</w:t>
      </w:r>
      <w:r>
        <w:rPr>
          <w:rFonts w:hint="eastAsia" w:ascii="宋体" w:hAnsi="宋体"/>
          <w:color w:val="000000"/>
          <w:kern w:val="0"/>
          <w:sz w:val="24"/>
          <w:szCs w:val="24"/>
        </w:rPr>
        <w:t xml:space="preserve">  应急报告</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报告主体。事故单位在积极组织现场应急处置工作的同时，立即报告本单位主管领导、保卫处和实验室与设备管理处。由实验室与设备管理处立即报告校长办公室、应急处置工作组组长及成员单位。实验室突发安全事故确认后1小时内，按安全事故的级别并经学校安全事故应急处置工作组同意后，分别由校长办公室负责按规定程序向上级相关部门报告，保卫处向当地公安部门报告，实验室与设备管理处向当地环境保护部门和安全生产监督管理部门报告。</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（二）报告内容。事故发生的时间、地点、起因、影响、事故抢救处理的情况和采取的措施、需要有关部门和单位协助抢救和处理的有关事宜等，并根据事态发展和处置情况及时续报。</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第九条</w:t>
      </w:r>
      <w:r>
        <w:rPr>
          <w:rFonts w:hint="eastAsia" w:ascii="宋体" w:hAnsi="宋体"/>
          <w:color w:val="000000"/>
          <w:kern w:val="0"/>
          <w:sz w:val="24"/>
          <w:szCs w:val="24"/>
        </w:rPr>
        <w:t xml:space="preserve">  应急处置</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（一）应急处置</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发生或确认即将发生实验室安全事故时，事发区域内的人员应立即撤离到安全地带，启动报告程序，并保护事故现场。事故单位在接到报告后立即启动本单位实验室安全事故应急救援预案，及时处置险兆事故，并注意救援人员的自我防护。</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（二）应急响应</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1.应急处置工作组成员单位接到报告后，组织相关人员第一时间赶赴事故现场，采取以下应急处置措施：控制事故发展，快速将伤员移出危险区域和组织群众撤离、疏散，消除事故的隐患；根据事故情况和发展，在事故中心区边界设置警戒线，迅速将相邻的危险品转移至安全地带，以减少不必要的人员伤亡和财产损失；对有可能发生爆炸、爆裂、喷溅等特别危险需紧急撤退的情况，及时下达撤退命令组织撤退；现场若有人员伤亡，由校医务室迅速组织抢救、转运伤员。</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2.现场应急处置人员必须采取相应等级的个人防护措施，应急处置时严禁单独行动。</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3.当确定事故不能很快得到有效控制或已造成重大人员伤亡时，由实验室与设备管理处立即向安全生产监督管理部门或其他部门请求支援。</w:t>
      </w:r>
    </w:p>
    <w:p>
      <w:pPr>
        <w:adjustRightInd w:val="0"/>
        <w:snapToGrid w:val="0"/>
        <w:spacing w:line="480" w:lineRule="exact"/>
        <w:ind w:firstLine="542" w:firstLineChars="225"/>
        <w:rPr>
          <w:rFonts w:ascii="宋体" w:hAnsi="宋体"/>
          <w:b/>
          <w:color w:val="000000"/>
          <w:kern w:val="0"/>
          <w:sz w:val="24"/>
          <w:szCs w:val="24"/>
        </w:rPr>
      </w:pPr>
      <w:r>
        <w:rPr>
          <w:rFonts w:hint="eastAsia" w:ascii="宋体" w:hAnsi="宋体"/>
          <w:b/>
          <w:color w:val="000000"/>
          <w:kern w:val="0"/>
          <w:sz w:val="24"/>
          <w:szCs w:val="24"/>
        </w:rPr>
        <w:t xml:space="preserve">第十条 </w:t>
      </w:r>
      <w:r>
        <w:rPr>
          <w:rFonts w:hint="eastAsia" w:ascii="宋体" w:hAnsi="宋体"/>
          <w:color w:val="000000"/>
          <w:kern w:val="0"/>
          <w:sz w:val="24"/>
          <w:szCs w:val="24"/>
        </w:rPr>
        <w:t>应急结束</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事故现场得以控制，导致次生、衍生事故的隐患消除后，经应急处置工作组组长确认或公安、安全生产监督管理、环境保护、卫生等相关管理部门许可的情况下，由学校实验室安全事故应急处置工作组宣布应急状态的终止。</w:t>
      </w:r>
    </w:p>
    <w:p>
      <w:pPr>
        <w:adjustRightInd w:val="0"/>
        <w:snapToGrid w:val="0"/>
        <w:spacing w:line="480" w:lineRule="exact"/>
        <w:ind w:firstLine="540" w:firstLineChars="225"/>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第五章 </w:t>
      </w:r>
      <w:bookmarkStart w:id="25" w:name="_Toc509577225"/>
      <w:r>
        <w:rPr>
          <w:rFonts w:hint="eastAsia" w:ascii="黑体" w:hAnsi="黑体" w:eastAsia="黑体" w:cs="黑体"/>
          <w:color w:val="000000"/>
          <w:kern w:val="0"/>
          <w:sz w:val="32"/>
          <w:szCs w:val="32"/>
        </w:rPr>
        <w:t>应急保障</w:t>
      </w:r>
      <w:bookmarkEnd w:id="25"/>
    </w:p>
    <w:p/>
    <w:p>
      <w:pPr>
        <w:adjustRightInd w:val="0"/>
        <w:snapToGrid w:val="0"/>
        <w:spacing w:line="480" w:lineRule="exact"/>
        <w:ind w:firstLine="542" w:firstLineChars="225"/>
        <w:rPr>
          <w:rFonts w:ascii="宋体" w:hAnsi="宋体"/>
          <w:color w:val="000000"/>
          <w:kern w:val="0"/>
          <w:sz w:val="24"/>
          <w:szCs w:val="24"/>
        </w:rPr>
      </w:pPr>
      <w:bookmarkStart w:id="26" w:name="_Toc289263288"/>
      <w:bookmarkStart w:id="27" w:name="_Toc289263091"/>
      <w:bookmarkStart w:id="28" w:name="_Toc258568191"/>
      <w:r>
        <w:rPr>
          <w:rFonts w:hint="eastAsia" w:ascii="宋体" w:hAnsi="宋体"/>
          <w:b/>
          <w:color w:val="000000"/>
          <w:kern w:val="0"/>
          <w:sz w:val="24"/>
          <w:szCs w:val="24"/>
        </w:rPr>
        <w:t>第十一条</w:t>
      </w:r>
      <w:r>
        <w:rPr>
          <w:rFonts w:hint="eastAsia" w:ascii="宋体" w:hAnsi="宋体"/>
          <w:color w:val="000000"/>
          <w:kern w:val="0"/>
          <w:sz w:val="24"/>
          <w:szCs w:val="24"/>
        </w:rPr>
        <w:t xml:space="preserve"> 人力保障</w:t>
      </w:r>
      <w:bookmarkEnd w:id="26"/>
      <w:bookmarkEnd w:id="27"/>
      <w:bookmarkEnd w:id="28"/>
      <w:r>
        <w:rPr>
          <w:rFonts w:hint="eastAsia" w:ascii="宋体" w:hAnsi="宋体"/>
          <w:color w:val="000000"/>
          <w:kern w:val="0"/>
          <w:sz w:val="24"/>
          <w:szCs w:val="24"/>
        </w:rPr>
        <w:t>。各单位要根据本单位可能发生的实验室突发安全事故，建立健全相应的应急救援队伍，并定期组织开展演练。</w:t>
      </w:r>
    </w:p>
    <w:p>
      <w:pPr>
        <w:adjustRightInd w:val="0"/>
        <w:snapToGrid w:val="0"/>
        <w:spacing w:line="480" w:lineRule="exact"/>
        <w:ind w:firstLine="542" w:firstLineChars="225"/>
        <w:rPr>
          <w:rFonts w:ascii="宋体" w:hAnsi="宋体"/>
          <w:color w:val="000000"/>
          <w:kern w:val="0"/>
          <w:sz w:val="24"/>
          <w:szCs w:val="24"/>
        </w:rPr>
      </w:pPr>
      <w:bookmarkStart w:id="29" w:name="_Toc289263289"/>
      <w:bookmarkStart w:id="30" w:name="_Toc289263092"/>
      <w:r>
        <w:rPr>
          <w:rFonts w:hint="eastAsia" w:ascii="宋体" w:hAnsi="宋体"/>
          <w:b/>
          <w:color w:val="000000"/>
          <w:kern w:val="0"/>
          <w:sz w:val="24"/>
          <w:szCs w:val="24"/>
        </w:rPr>
        <w:t>第十二条</w:t>
      </w:r>
      <w:r>
        <w:rPr>
          <w:rFonts w:hint="eastAsia" w:ascii="宋体" w:hAnsi="宋体"/>
          <w:color w:val="000000"/>
          <w:kern w:val="0"/>
          <w:sz w:val="24"/>
          <w:szCs w:val="24"/>
        </w:rPr>
        <w:t> </w:t>
      </w:r>
      <w:bookmarkStart w:id="31" w:name="_Toc258568192"/>
      <w:r>
        <w:rPr>
          <w:rFonts w:hint="eastAsia" w:ascii="宋体" w:hAnsi="宋体"/>
          <w:color w:val="000000"/>
          <w:kern w:val="0"/>
          <w:sz w:val="24"/>
          <w:szCs w:val="24"/>
        </w:rPr>
        <w:t>财力保障</w:t>
      </w:r>
      <w:bookmarkEnd w:id="29"/>
      <w:bookmarkEnd w:id="30"/>
      <w:bookmarkEnd w:id="31"/>
      <w:r>
        <w:rPr>
          <w:rFonts w:hint="eastAsia" w:ascii="宋体" w:hAnsi="宋体"/>
          <w:color w:val="000000"/>
          <w:kern w:val="0"/>
          <w:sz w:val="24"/>
          <w:szCs w:val="24"/>
        </w:rPr>
        <w:t>。应急处置工作组成员单位按照现行的事权、财权划分和分级负担原则，安排应急工作预备经费和日常工作经费，保障应急支出的需要。</w:t>
      </w:r>
    </w:p>
    <w:p>
      <w:pPr>
        <w:adjustRightInd w:val="0"/>
        <w:snapToGrid w:val="0"/>
        <w:spacing w:line="480" w:lineRule="exact"/>
        <w:ind w:firstLine="542" w:firstLineChars="225"/>
        <w:rPr>
          <w:rFonts w:ascii="宋体" w:hAnsi="宋体"/>
          <w:color w:val="000000"/>
          <w:kern w:val="0"/>
          <w:sz w:val="24"/>
          <w:szCs w:val="24"/>
        </w:rPr>
      </w:pPr>
      <w:bookmarkStart w:id="32" w:name="_Toc289263093"/>
      <w:bookmarkStart w:id="33" w:name="_Toc289263290"/>
      <w:r>
        <w:rPr>
          <w:rFonts w:hint="eastAsia" w:ascii="宋体" w:hAnsi="宋体"/>
          <w:b/>
          <w:color w:val="000000"/>
          <w:kern w:val="0"/>
          <w:sz w:val="24"/>
          <w:szCs w:val="24"/>
        </w:rPr>
        <w:t>第十三条</w:t>
      </w:r>
      <w:r>
        <w:rPr>
          <w:rFonts w:hint="eastAsia" w:ascii="宋体" w:hAnsi="宋体"/>
          <w:color w:val="000000"/>
          <w:kern w:val="0"/>
          <w:sz w:val="24"/>
          <w:szCs w:val="24"/>
        </w:rPr>
        <w:t> </w:t>
      </w:r>
      <w:bookmarkStart w:id="34" w:name="_Toc258568193"/>
      <w:r>
        <w:rPr>
          <w:rFonts w:hint="eastAsia" w:ascii="宋体" w:hAnsi="宋体"/>
          <w:color w:val="000000"/>
          <w:kern w:val="0"/>
          <w:sz w:val="24"/>
          <w:szCs w:val="24"/>
        </w:rPr>
        <w:t>物资保障</w:t>
      </w:r>
      <w:bookmarkEnd w:id="32"/>
      <w:bookmarkEnd w:id="33"/>
      <w:bookmarkEnd w:id="34"/>
      <w:r>
        <w:rPr>
          <w:rFonts w:hint="eastAsia" w:ascii="宋体" w:hAnsi="宋体"/>
          <w:color w:val="000000"/>
          <w:kern w:val="0"/>
          <w:sz w:val="24"/>
          <w:szCs w:val="24"/>
        </w:rPr>
        <w:t>。应急处置工作组成员单位应根据应急预案的规定，做好相关物资储备工作及实验室安全事故发生时应急物资调拨和供应的协调工作。</w:t>
      </w:r>
    </w:p>
    <w:p>
      <w:pPr>
        <w:adjustRightInd w:val="0"/>
        <w:snapToGrid w:val="0"/>
        <w:spacing w:line="480" w:lineRule="exact"/>
        <w:ind w:firstLine="542" w:firstLineChars="225"/>
        <w:rPr>
          <w:rFonts w:ascii="宋体" w:hAnsi="宋体"/>
          <w:color w:val="000000"/>
          <w:kern w:val="0"/>
          <w:sz w:val="24"/>
          <w:szCs w:val="24"/>
        </w:rPr>
      </w:pPr>
      <w:bookmarkStart w:id="35" w:name="_Toc289263292"/>
      <w:bookmarkStart w:id="36" w:name="_Toc289263095"/>
      <w:bookmarkStart w:id="37" w:name="_Toc258568195"/>
      <w:r>
        <w:rPr>
          <w:rFonts w:hint="eastAsia" w:ascii="宋体" w:hAnsi="宋体"/>
          <w:b/>
          <w:color w:val="000000"/>
          <w:kern w:val="0"/>
          <w:sz w:val="24"/>
          <w:szCs w:val="24"/>
        </w:rPr>
        <w:t>第十四条</w:t>
      </w:r>
      <w:r>
        <w:rPr>
          <w:rFonts w:hint="eastAsia" w:ascii="宋体" w:hAnsi="宋体"/>
          <w:color w:val="000000"/>
          <w:kern w:val="0"/>
          <w:sz w:val="24"/>
          <w:szCs w:val="24"/>
        </w:rPr>
        <w:t> 医疗卫生保障</w:t>
      </w:r>
      <w:bookmarkEnd w:id="35"/>
      <w:bookmarkEnd w:id="36"/>
      <w:bookmarkEnd w:id="37"/>
      <w:r>
        <w:rPr>
          <w:rFonts w:hint="eastAsia" w:ascii="宋体" w:hAnsi="宋体"/>
          <w:color w:val="000000"/>
          <w:kern w:val="0"/>
          <w:sz w:val="24"/>
          <w:szCs w:val="24"/>
        </w:rPr>
        <w:t>。校医务室负责组建学校医疗卫生应急专业救援队伍，根据需要及时赶赴现场开展医疗救治和疾病预防控制，并做好后续救治工作。</w:t>
      </w:r>
    </w:p>
    <w:p>
      <w:pPr>
        <w:adjustRightInd w:val="0"/>
        <w:snapToGrid w:val="0"/>
        <w:spacing w:line="480" w:lineRule="exact"/>
        <w:ind w:firstLine="542" w:firstLineChars="225"/>
        <w:rPr>
          <w:rFonts w:ascii="宋体" w:hAnsi="宋体"/>
          <w:color w:val="000000"/>
          <w:kern w:val="0"/>
          <w:sz w:val="24"/>
          <w:szCs w:val="24"/>
        </w:rPr>
      </w:pPr>
      <w:bookmarkStart w:id="38" w:name="_Toc289263293"/>
      <w:bookmarkStart w:id="39" w:name="_Toc258568196"/>
      <w:bookmarkStart w:id="40" w:name="_Toc289263096"/>
      <w:r>
        <w:rPr>
          <w:rFonts w:hint="eastAsia" w:ascii="宋体" w:hAnsi="宋体"/>
          <w:b/>
          <w:color w:val="000000"/>
          <w:kern w:val="0"/>
          <w:sz w:val="24"/>
          <w:szCs w:val="24"/>
        </w:rPr>
        <w:t>第十五条</w:t>
      </w:r>
      <w:r>
        <w:rPr>
          <w:rFonts w:hint="eastAsia" w:ascii="宋体" w:hAnsi="宋体"/>
          <w:color w:val="000000"/>
          <w:kern w:val="0"/>
          <w:sz w:val="24"/>
          <w:szCs w:val="24"/>
        </w:rPr>
        <w:t xml:space="preserve"> 交通运输、通讯保障</w:t>
      </w:r>
      <w:bookmarkEnd w:id="38"/>
      <w:bookmarkEnd w:id="39"/>
      <w:bookmarkEnd w:id="40"/>
      <w:r>
        <w:rPr>
          <w:rFonts w:hint="eastAsia" w:ascii="宋体" w:hAnsi="宋体"/>
          <w:color w:val="000000"/>
          <w:kern w:val="0"/>
          <w:sz w:val="24"/>
          <w:szCs w:val="24"/>
        </w:rPr>
        <w:t>。校长办公室、保卫处要保证应急情况下交通工具的优先安排、优先调度、优先放行，确保运输安全和畅通。保卫处保证24小时值班电话畅通，应急处置工作组成员需保持手机通信畅通。</w:t>
      </w:r>
    </w:p>
    <w:p>
      <w:pPr>
        <w:adjustRightInd w:val="0"/>
        <w:snapToGrid w:val="0"/>
        <w:spacing w:line="480" w:lineRule="exact"/>
        <w:ind w:firstLine="542" w:firstLineChars="225"/>
        <w:rPr>
          <w:rFonts w:ascii="宋体" w:hAnsi="宋体"/>
          <w:color w:val="000000"/>
          <w:kern w:val="0"/>
          <w:sz w:val="24"/>
          <w:szCs w:val="24"/>
        </w:rPr>
      </w:pPr>
      <w:bookmarkStart w:id="41" w:name="_Toc289263297"/>
      <w:bookmarkStart w:id="42" w:name="_Toc289263100"/>
      <w:bookmarkStart w:id="43" w:name="_Toc258568200"/>
      <w:r>
        <w:rPr>
          <w:rFonts w:hint="eastAsia" w:ascii="宋体" w:hAnsi="宋体"/>
          <w:b/>
          <w:color w:val="000000"/>
          <w:kern w:val="0"/>
          <w:sz w:val="24"/>
          <w:szCs w:val="24"/>
        </w:rPr>
        <w:t>第十六条</w:t>
      </w:r>
      <w:r>
        <w:rPr>
          <w:rFonts w:hint="eastAsia" w:ascii="宋体" w:hAnsi="宋体"/>
          <w:color w:val="000000"/>
          <w:kern w:val="0"/>
          <w:sz w:val="24"/>
          <w:szCs w:val="24"/>
        </w:rPr>
        <w:t xml:space="preserve"> 公共设施保障</w:t>
      </w:r>
      <w:bookmarkEnd w:id="41"/>
      <w:bookmarkEnd w:id="42"/>
      <w:bookmarkEnd w:id="43"/>
      <w:r>
        <w:rPr>
          <w:rFonts w:hint="eastAsia" w:ascii="宋体" w:hAnsi="宋体"/>
          <w:color w:val="000000"/>
          <w:kern w:val="0"/>
          <w:sz w:val="24"/>
          <w:szCs w:val="24"/>
        </w:rPr>
        <w:t>。后勤处按照相关应急预案要求，确保应急状态下事发区域用电、用气、用水的基本需求。</w:t>
      </w:r>
    </w:p>
    <w:p>
      <w:pPr>
        <w:adjustRightInd w:val="0"/>
        <w:snapToGrid w:val="0"/>
        <w:spacing w:line="480" w:lineRule="exact"/>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bookmarkStart w:id="44" w:name="_Toc509577226"/>
      <w:r>
        <w:rPr>
          <w:rFonts w:hint="eastAsia" w:ascii="黑体" w:hAnsi="黑体" w:eastAsia="黑体" w:cs="黑体"/>
          <w:color w:val="000000"/>
          <w:kern w:val="0"/>
          <w:sz w:val="32"/>
          <w:szCs w:val="32"/>
        </w:rPr>
        <w:t>第六章 后期处置</w:t>
      </w:r>
      <w:bookmarkEnd w:id="44"/>
    </w:p>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第十七条</w:t>
      </w:r>
      <w:r>
        <w:rPr>
          <w:rFonts w:hint="eastAsia" w:ascii="宋体" w:hAnsi="宋体"/>
          <w:color w:val="000000"/>
          <w:kern w:val="0"/>
          <w:sz w:val="24"/>
          <w:szCs w:val="24"/>
        </w:rPr>
        <w:t xml:space="preserve"> 事故调查。学校相关单位要按照国家法律法规和学校有关规定，积极配合公安、安全生产监督管理、环境保护、卫生等部门对事故进行调查、侦破工作。</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第十八条</w:t>
      </w:r>
      <w:r>
        <w:rPr>
          <w:rFonts w:hint="eastAsia" w:ascii="宋体" w:hAnsi="宋体"/>
          <w:color w:val="000000"/>
          <w:kern w:val="0"/>
          <w:sz w:val="24"/>
          <w:szCs w:val="24"/>
        </w:rPr>
        <w:t xml:space="preserve"> 信息发布。安全事故信息上报与发布应当及时、准确、客观和全面，信息上报由校长办公室具体负责，信息发布按学校新闻发布制度执行，其他各部门不得越权接受采访和发布信息。</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第十九条</w:t>
      </w:r>
      <w:r>
        <w:rPr>
          <w:rFonts w:hint="eastAsia" w:ascii="宋体" w:hAnsi="宋体"/>
          <w:color w:val="000000"/>
          <w:kern w:val="0"/>
          <w:sz w:val="24"/>
          <w:szCs w:val="24"/>
        </w:rPr>
        <w:t xml:space="preserve"> 评估总结。应急状态终止后，由实验室与设备管理处、保卫处及校长办公室负责事故调查评估并起草总结报告，学校相关单位积极配合。</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第二十条</w:t>
      </w:r>
      <w:r>
        <w:rPr>
          <w:rFonts w:hint="eastAsia" w:ascii="宋体" w:hAnsi="宋体"/>
          <w:color w:val="000000"/>
          <w:kern w:val="0"/>
          <w:sz w:val="24"/>
          <w:szCs w:val="24"/>
        </w:rPr>
        <w:t xml:space="preserve">  责任追究。对于负有相关责任的单位和人员，将上报学校按国家相应法律法规及学校规定进行处理。</w:t>
      </w:r>
    </w:p>
    <w:p>
      <w:pPr>
        <w:adjustRightInd w:val="0"/>
        <w:snapToGrid w:val="0"/>
        <w:spacing w:line="480" w:lineRule="exact"/>
        <w:rPr>
          <w:rFonts w:ascii="宋体" w:hAnsi="宋体"/>
          <w:color w:val="000000"/>
          <w:kern w:val="0"/>
          <w:sz w:val="24"/>
          <w:szCs w:val="24"/>
        </w:rPr>
      </w:pP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第七章 </w:t>
      </w:r>
      <w:bookmarkStart w:id="45" w:name="_Toc509577227"/>
      <w:r>
        <w:rPr>
          <w:rFonts w:hint="eastAsia" w:ascii="黑体" w:hAnsi="黑体" w:eastAsia="黑体" w:cs="黑体"/>
          <w:color w:val="000000"/>
          <w:kern w:val="0"/>
          <w:sz w:val="32"/>
          <w:szCs w:val="32"/>
        </w:rPr>
        <w:t>附  则</w:t>
      </w:r>
      <w:bookmarkEnd w:id="45"/>
    </w:p>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第二十一条</w:t>
      </w:r>
      <w:r>
        <w:rPr>
          <w:rFonts w:hint="eastAsia" w:ascii="宋体" w:hAnsi="宋体"/>
          <w:color w:val="000000"/>
          <w:kern w:val="0"/>
          <w:sz w:val="24"/>
          <w:szCs w:val="24"/>
        </w:rPr>
        <w:t xml:space="preserve"> 本预案未尽事项，按国家有关法律法规及相关预案执行。</w:t>
      </w:r>
    </w:p>
    <w:p>
      <w:pPr>
        <w:adjustRightInd w:val="0"/>
        <w:snapToGrid w:val="0"/>
        <w:spacing w:line="480" w:lineRule="exact"/>
        <w:ind w:firstLine="542" w:firstLineChars="225"/>
        <w:rPr>
          <w:rFonts w:ascii="宋体" w:hAnsi="宋体"/>
          <w:color w:val="000000"/>
          <w:kern w:val="0"/>
          <w:sz w:val="24"/>
          <w:szCs w:val="24"/>
        </w:rPr>
      </w:pPr>
      <w:r>
        <w:rPr>
          <w:rFonts w:hint="eastAsia" w:ascii="宋体" w:hAnsi="宋体"/>
          <w:b/>
          <w:color w:val="000000"/>
          <w:kern w:val="0"/>
          <w:sz w:val="24"/>
          <w:szCs w:val="24"/>
        </w:rPr>
        <w:t>第二十二条</w:t>
      </w:r>
      <w:r>
        <w:rPr>
          <w:rFonts w:hint="eastAsia" w:ascii="宋体" w:hAnsi="宋体"/>
          <w:color w:val="000000"/>
          <w:kern w:val="0"/>
          <w:sz w:val="24"/>
          <w:szCs w:val="24"/>
        </w:rPr>
        <w:t xml:space="preserve"> 本预案自发布之日起实施，由实验室与设备管理处负责解释。</w:t>
      </w:r>
    </w:p>
    <w:p>
      <w:pPr>
        <w:widowControl/>
        <w:snapToGrid w:val="0"/>
        <w:spacing w:line="480" w:lineRule="exact"/>
        <w:ind w:firstLine="480" w:firstLineChars="200"/>
        <w:rPr>
          <w:rFonts w:ascii="宋体" w:hAnsi="宋体"/>
          <w:color w:val="636363"/>
          <w:kern w:val="0"/>
          <w:sz w:val="24"/>
          <w:szCs w:val="24"/>
        </w:rPr>
      </w:pPr>
      <w:r>
        <w:rPr>
          <w:rFonts w:hint="eastAsia" w:ascii="宋体" w:hAnsi="宋体"/>
          <w:color w:val="636363"/>
          <w:kern w:val="0"/>
          <w:sz w:val="24"/>
          <w:szCs w:val="24"/>
        </w:rPr>
        <w:t> </w:t>
      </w:r>
    </w:p>
    <w:p>
      <w:pPr>
        <w:widowControl/>
        <w:snapToGrid w:val="0"/>
        <w:spacing w:line="480" w:lineRule="exact"/>
        <w:ind w:firstLine="480" w:firstLineChars="200"/>
        <w:rPr>
          <w:rFonts w:ascii="宋体" w:hAnsi="宋体"/>
          <w:color w:val="000000"/>
          <w:kern w:val="0"/>
          <w:sz w:val="24"/>
          <w:szCs w:val="24"/>
        </w:rPr>
      </w:pPr>
      <w:r>
        <w:rPr>
          <w:rFonts w:hint="eastAsia" w:ascii="宋体" w:hAnsi="宋体"/>
          <w:color w:val="000000"/>
          <w:kern w:val="0"/>
          <w:sz w:val="24"/>
          <w:szCs w:val="24"/>
        </w:rPr>
        <w:t>附件：1.化学类安全事故应急处置措施</w:t>
      </w:r>
    </w:p>
    <w:p>
      <w:pPr>
        <w:widowControl/>
        <w:snapToGrid w:val="0"/>
        <w:spacing w:line="480" w:lineRule="exact"/>
        <w:ind w:firstLine="1200" w:firstLineChars="500"/>
        <w:rPr>
          <w:rFonts w:ascii="宋体" w:hAnsi="宋体"/>
          <w:color w:val="000000"/>
          <w:kern w:val="0"/>
          <w:sz w:val="24"/>
          <w:szCs w:val="24"/>
        </w:rPr>
      </w:pPr>
      <w:r>
        <w:rPr>
          <w:rFonts w:hint="eastAsia" w:ascii="宋体" w:hAnsi="宋体"/>
          <w:color w:val="000000"/>
          <w:kern w:val="0"/>
          <w:sz w:val="24"/>
          <w:szCs w:val="24"/>
        </w:rPr>
        <w:t>2.生物类安全事故应急处置措施</w:t>
      </w:r>
    </w:p>
    <w:p>
      <w:pPr>
        <w:widowControl/>
        <w:snapToGrid w:val="0"/>
        <w:spacing w:line="480" w:lineRule="exact"/>
        <w:ind w:firstLine="1200" w:firstLineChars="500"/>
        <w:rPr>
          <w:rFonts w:ascii="宋体" w:hAnsi="宋体"/>
          <w:color w:val="000000"/>
          <w:kern w:val="0"/>
          <w:sz w:val="24"/>
          <w:szCs w:val="24"/>
        </w:rPr>
      </w:pPr>
      <w:r>
        <w:rPr>
          <w:rFonts w:hint="eastAsia" w:ascii="宋体" w:hAnsi="宋体"/>
          <w:color w:val="000000"/>
          <w:kern w:val="0"/>
          <w:sz w:val="24"/>
          <w:szCs w:val="24"/>
        </w:rPr>
        <w:t>3.辐射类安全事故应急处置措施</w:t>
      </w:r>
    </w:p>
    <w:p>
      <w:pPr>
        <w:widowControl/>
        <w:snapToGrid w:val="0"/>
        <w:spacing w:line="480" w:lineRule="exact"/>
        <w:ind w:firstLine="1200" w:firstLineChars="500"/>
        <w:rPr>
          <w:rFonts w:ascii="宋体" w:hAnsi="宋体"/>
          <w:color w:val="000000"/>
          <w:kern w:val="0"/>
          <w:sz w:val="24"/>
          <w:szCs w:val="24"/>
        </w:rPr>
      </w:pPr>
      <w:r>
        <w:rPr>
          <w:rFonts w:hint="eastAsia" w:ascii="宋体" w:hAnsi="宋体"/>
          <w:color w:val="000000"/>
          <w:kern w:val="0"/>
          <w:sz w:val="24"/>
          <w:szCs w:val="24"/>
        </w:rPr>
        <w:t>4.特种设备类安全事故应急处置措施</w:t>
      </w: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widowControl/>
        <w:jc w:val="left"/>
        <w:rPr>
          <w:rFonts w:ascii="黑体" w:hAnsi="宋体" w:eastAsia="黑体" w:cs="Arial"/>
          <w:color w:val="000000"/>
          <w:kern w:val="0"/>
          <w:sz w:val="32"/>
          <w:szCs w:val="32"/>
        </w:rPr>
      </w:pPr>
      <w:r>
        <w:rPr>
          <w:rFonts w:ascii="黑体" w:hAnsi="宋体" w:eastAsia="黑体" w:cs="Arial"/>
          <w:color w:val="000000"/>
          <w:kern w:val="0"/>
          <w:sz w:val="32"/>
          <w:szCs w:val="32"/>
        </w:rPr>
        <w:br w:type="page"/>
      </w:r>
    </w:p>
    <w:p>
      <w:pPr>
        <w:adjustRightInd w:val="0"/>
        <w:snapToGrid w:val="0"/>
        <w:spacing w:line="560" w:lineRule="exact"/>
        <w:rPr>
          <w:rFonts w:ascii="宋体" w:hAnsi="宋体"/>
          <w:b/>
          <w:bCs/>
          <w:color w:val="000000"/>
          <w:kern w:val="0"/>
          <w:sz w:val="24"/>
          <w:szCs w:val="24"/>
        </w:rPr>
      </w:pPr>
      <w:r>
        <w:rPr>
          <w:rFonts w:hint="eastAsia" w:ascii="宋体" w:hAnsi="宋体"/>
          <w:b/>
          <w:bCs/>
          <w:color w:val="000000"/>
          <w:kern w:val="0"/>
          <w:sz w:val="24"/>
          <w:szCs w:val="24"/>
        </w:rPr>
        <w:t>附件1：</w:t>
      </w:r>
    </w:p>
    <w:p>
      <w:pPr>
        <w:widowControl/>
        <w:spacing w:line="560" w:lineRule="exact"/>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化学类安全事故应急处置措施</w:t>
      </w:r>
    </w:p>
    <w:p>
      <w:pPr>
        <w:widowControl/>
        <w:spacing w:line="240" w:lineRule="exact"/>
        <w:jc w:val="center"/>
        <w:rPr>
          <w:rFonts w:ascii="方正小标宋简体" w:hAnsi="宋体" w:eastAsia="方正小标宋简体" w:cs="Arial"/>
          <w:color w:val="000000"/>
          <w:kern w:val="0"/>
          <w:sz w:val="44"/>
          <w:szCs w:val="44"/>
        </w:rPr>
      </w:pPr>
    </w:p>
    <w:p>
      <w:pPr>
        <w:adjustRightInd w:val="0"/>
        <w:snapToGrid w:val="0"/>
        <w:spacing w:line="480" w:lineRule="exact"/>
        <w:ind w:firstLine="600" w:firstLineChars="250"/>
        <w:rPr>
          <w:rFonts w:ascii="黑体" w:hAnsi="黑体" w:eastAsia="黑体" w:cs="黑体"/>
          <w:color w:val="000000"/>
          <w:kern w:val="0"/>
          <w:sz w:val="24"/>
          <w:szCs w:val="24"/>
        </w:rPr>
      </w:pPr>
      <w:r>
        <w:rPr>
          <w:rFonts w:hint="eastAsia" w:ascii="黑体" w:hAnsi="黑体" w:eastAsia="黑体" w:cs="黑体"/>
          <w:color w:val="000000"/>
          <w:kern w:val="0"/>
          <w:sz w:val="24"/>
          <w:szCs w:val="24"/>
        </w:rPr>
        <w:t>一、一般原则</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（一）安全防护：进入现场的应急救援人员必须配备合适的个人防护器具，在确保自身安全的情况下，实施救援工作。</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（二）隔离、疏散：设定初始隔离区，封闭事故现场，实行交通管制，紧急疏散转移隔离区内所有无关人员。</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监测、侦察：监测泄漏物质浓度、扩散范围及气象数据，及时调整隔离区的范围，做好动态监测；侦察事故现场，搜寻被困人员，确认设施、建（构）筑物险情及可能引发爆炸燃烧的各种危险源、现场及周边污染情况，确定攻防、撤退的路线。</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（四）医疗救护：应急救援人员采取正确的救助方式，将遇险人员移至安全隔离区域，进行现场急救，并视实际情况迅速将受伤、中毒人员送往医院。</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（五）现场控制：根据事故类型、现场具体情况，采取相应的措施控制事态的扩大。</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（六）防止次生灾害：采取措施防止进一步造成火灾爆炸和环境污染等次生灾害，并做好相关的监测工作。</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（七）洗消：设立洗消站，对遇险人员、应急救援人员、救援器材等进行洗消，严格控制污水排放，防止二次污染。</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（八）危害信息告知：及时发布避险警告，并广泛宣传危险化学品的危害信息和应急急救措施。</w:t>
      </w:r>
    </w:p>
    <w:p>
      <w:pPr>
        <w:adjustRightInd w:val="0"/>
        <w:snapToGrid w:val="0"/>
        <w:spacing w:line="480" w:lineRule="exact"/>
        <w:ind w:firstLine="600" w:firstLineChars="250"/>
        <w:rPr>
          <w:rFonts w:ascii="黑体" w:hAnsi="黑体" w:eastAsia="黑体" w:cs="黑体"/>
          <w:color w:val="000000"/>
          <w:kern w:val="0"/>
          <w:sz w:val="24"/>
          <w:szCs w:val="24"/>
        </w:rPr>
      </w:pPr>
      <w:r>
        <w:rPr>
          <w:rFonts w:hint="eastAsia" w:ascii="黑体" w:hAnsi="黑体" w:eastAsia="黑体" w:cs="黑体"/>
          <w:color w:val="000000"/>
          <w:kern w:val="0"/>
          <w:sz w:val="24"/>
          <w:szCs w:val="24"/>
        </w:rPr>
        <w:t>二、危险化学品泄漏事故处置措施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（一）易燃易爆物质泄漏：必须立即消除泄漏污染区域内的各种火源，救援器材应具备防爆功能，并采取有效措施防止泄漏物进入下水道、地下室或受限空间。</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泄漏物控制：用水雾、蒸汽等稀释泄漏物浓度，拦截、导流和蓄积泄漏物，防止泄漏物向重要目标或环境敏感区扩散，并视情况使用泡沫充分覆盖泄漏液面；对大量粉体泄漏物，应使用塑料布、帆布等覆盖，减少飞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（三）泄漏源控制：根据现场泄漏情况，采取关阀断料、开阀导流、排料泄压、火炬放空、倒罐转移、应急堵漏、冷却防爆、注水排险、喷雾稀释、引火点燃等措施控制泄漏源。</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（四）泄漏物清理：大量残液，用防爆泵抽吸或使用无火花盛器收集、集中处理；少量残液，用稀释、吸附、固化、中和等方法处理。</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五）泄漏物污染水体：当发生危险化学品泄漏污染水体时，应及时通知沿岸居民和地方政府，严禁下游人畜取水；加强对水体进行监测，采取打捞收集泄漏物、拦河筑坝、中和等方法严控污染扩大，如果中和过程中可能产生金属离子，必须用沉淀剂清除。</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（六）紧急点火：当易燃易爆物质在人口密集处或密闭空间泄漏，并无法有效控制，可能造成重大次生灾害时，应急处置工作组要适时果断下达点火指令。</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（七）火灾爆炸：当泄漏事故发生火灾爆炸次生灾害后，同时按火灾爆炸应急措施处置。</w:t>
      </w:r>
    </w:p>
    <w:p>
      <w:pPr>
        <w:adjustRightInd w:val="0"/>
        <w:snapToGrid w:val="0"/>
        <w:spacing w:line="480" w:lineRule="exact"/>
        <w:ind w:firstLine="600" w:firstLineChars="250"/>
        <w:rPr>
          <w:rFonts w:ascii="黑体" w:hAnsi="黑体" w:eastAsia="黑体" w:cs="黑体"/>
          <w:color w:val="000000"/>
          <w:kern w:val="0"/>
          <w:sz w:val="24"/>
          <w:szCs w:val="24"/>
        </w:rPr>
      </w:pPr>
      <w:r>
        <w:rPr>
          <w:rFonts w:hint="eastAsia" w:ascii="黑体" w:hAnsi="黑体" w:eastAsia="黑体" w:cs="黑体"/>
          <w:color w:val="000000"/>
          <w:kern w:val="0"/>
          <w:sz w:val="24"/>
          <w:szCs w:val="24"/>
        </w:rPr>
        <w:t>三、危险化学品火灾爆炸事故处置措施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（一）发生危险化学品火灾爆炸事故时，应遵循“先控制、后消灭”的原则。</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（二）扑救初期火灾：关闭火灾部位的上下游阀门，切断物料来源，用现有消防器材扑灭初期火灾和控制火源。</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（三）保护周围设施：为防止火灾危及相邻设施，采取冷却、隔离等保护措施，并迅速疏散受火势威胁的物资。</w:t>
      </w:r>
    </w:p>
    <w:p>
      <w:pPr>
        <w:adjustRightInd w:val="0"/>
        <w:snapToGrid w:val="0"/>
        <w:spacing w:line="480" w:lineRule="exact"/>
        <w:ind w:firstLine="540" w:firstLineChars="225"/>
        <w:rPr>
          <w:rFonts w:ascii="宋体" w:hAnsi="宋体"/>
          <w:color w:val="000000"/>
          <w:kern w:val="0"/>
          <w:sz w:val="24"/>
          <w:szCs w:val="24"/>
          <w:highlight w:val="yellow"/>
        </w:rPr>
      </w:pPr>
      <w:r>
        <w:rPr>
          <w:rFonts w:hint="eastAsia" w:ascii="宋体" w:hAnsi="宋体"/>
          <w:color w:val="000000"/>
          <w:kern w:val="0"/>
          <w:sz w:val="24"/>
          <w:szCs w:val="24"/>
        </w:rPr>
        <w:t>（四）火灾扑救：针对不同的危险化学品，选择正确的灭火剂和灭火方法控制火灾。当外围火点已彻底扑灭、火种等危险源已全部控制、堵漏措施准备就绪并有把握在短时间内完成且消防力量也已准备就绪时，可实施灭火。</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（五）确定撤退信号和撤退方法：当火灾失控危及救援人员生命安全时，应立即指挥现场全部人员撤离至安全区域。</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（六）火灾扑灭后，应派人监护现场，防止复燃。</w:t>
      </w:r>
    </w:p>
    <w:p>
      <w:pPr>
        <w:adjustRightInd w:val="0"/>
        <w:snapToGrid w:val="0"/>
        <w:spacing w:line="480" w:lineRule="exact"/>
        <w:ind w:firstLine="600" w:firstLineChars="250"/>
        <w:rPr>
          <w:rFonts w:ascii="黑体" w:hAnsi="黑体" w:eastAsia="黑体" w:cs="黑体"/>
          <w:color w:val="000000"/>
          <w:kern w:val="0"/>
          <w:sz w:val="24"/>
          <w:szCs w:val="24"/>
        </w:rPr>
      </w:pPr>
      <w:r>
        <w:rPr>
          <w:rFonts w:hint="eastAsia" w:ascii="黑体" w:hAnsi="黑体" w:eastAsia="黑体" w:cs="黑体"/>
          <w:color w:val="000000"/>
          <w:kern w:val="0"/>
          <w:sz w:val="24"/>
          <w:szCs w:val="24"/>
        </w:rPr>
        <w:t>四、危险化学品中毒事故处置措施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（一）现场急救：应急救援人员必须佩戴个人防护用品迅速进入现场危险区，将中毒人员移至安全区域，根据受伤情况进行现场急救，并视实际情况迅速将受伤、中毒人员送往医院抢救。</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医学救援：抢救生命体征危急的人员、处理眼和皮肤污染、查明化学物质毒性、进行特殊和（或）对症处理；迅速将受伤、中毒人员送往医院抢救；组织医疗专家，保障治疗药物和器材的供应，组织有可能受到危险化学品伤害的周边群众进行体检。</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（三）对中毒源进行泄漏原因分析，制定处置方案，控制泄漏源，处理泄漏物。</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（四）隔离、疏散：应急处置工作组根据风向和泄漏区域设定事故隔离区，指导应急人员隔离封闭危险区，紧急疏散事故区域内的无关人员，对主要道路和路口实行交通管制。</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（五）危害信息告知：及时、广泛地宣传中毒化学品的危害信息和应急措施。</w:t>
      </w:r>
    </w:p>
    <w:p>
      <w:pPr>
        <w:adjustRightInd w:val="0"/>
        <w:snapToGrid w:val="0"/>
        <w:spacing w:line="480" w:lineRule="exact"/>
        <w:ind w:firstLine="600" w:firstLineChars="250"/>
        <w:rPr>
          <w:rFonts w:ascii="黑体" w:hAnsi="黑体" w:eastAsia="黑体" w:cs="黑体"/>
          <w:color w:val="000000"/>
          <w:kern w:val="0"/>
          <w:sz w:val="24"/>
          <w:szCs w:val="24"/>
        </w:rPr>
      </w:pPr>
      <w:r>
        <w:rPr>
          <w:rFonts w:hint="eastAsia" w:ascii="黑体" w:hAnsi="黑体" w:eastAsia="黑体" w:cs="黑体"/>
          <w:color w:val="000000"/>
          <w:kern w:val="0"/>
          <w:sz w:val="24"/>
          <w:szCs w:val="24"/>
        </w:rPr>
        <w:t>五、危险化学品丢失、被盗事故处置措施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（一）立即向公安、环境保护等部门报告。</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（二）组织保护现场，配合公安、环境保护等部门的调查。</w:t>
      </w:r>
    </w:p>
    <w:p>
      <w:pPr>
        <w:adjustRightInd w:val="0"/>
        <w:snapToGrid w:val="0"/>
        <w:spacing w:line="480" w:lineRule="exact"/>
        <w:ind w:firstLine="600" w:firstLineChars="250"/>
        <w:rPr>
          <w:rFonts w:ascii="宋体" w:hAnsi="宋体"/>
          <w:color w:val="000000"/>
          <w:kern w:val="0"/>
          <w:sz w:val="24"/>
          <w:szCs w:val="24"/>
        </w:rPr>
      </w:pPr>
      <w:r>
        <w:rPr>
          <w:rFonts w:hint="eastAsia" w:ascii="宋体" w:hAnsi="宋体"/>
          <w:color w:val="000000"/>
          <w:kern w:val="0"/>
          <w:sz w:val="24"/>
          <w:szCs w:val="24"/>
        </w:rPr>
        <w:t>六、特殊危险化学品的火灾事故扑救注意事项</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（一）对于液化气火灾，切忌盲目扑灭，在没有采取堵漏措施的情况时，必须保持其稳定燃烧。</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（二）对于爆炸物品火灾，切忌用沙土盖压，以免增强爆炸物品爆炸时的威力；扑救爆炸物品堆垛时，应采用水流吊射，避免强力水流直接冲击堆垛，以免堆垛倒塌引起再次爆炸。</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（三）对于遇湿易燃物品火灾，禁止用水、泡沫、酸碱等湿性灭火剂扑救。</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（四）扑救毒害品、腐蚀品火灾时，应尽量使用低压水流或雾状水，避免腐蚀品、毒害品溅出；对于酸类或碱类腐蚀品，最好调制相应的中和剂稀释中和。</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五）对于易燃固体、自燃物品火灾，一般可用水和泡沫扑救，只要控制住燃烧范围，逐步扑灭即可；但少数物品的扑救方法比较特殊。易升华的易燃固体受热可产生易燃蒸气，能与空气形成爆炸性混合物，尤其在室内易发生爆燃，在扑救过程中应不时向燃烧区域上空及周围喷射雾状水，并消除周围一切火源。</w:t>
      </w:r>
    </w:p>
    <w:p>
      <w:pPr>
        <w:adjustRightInd w:val="0"/>
        <w:snapToGrid w:val="0"/>
        <w:spacing w:line="560" w:lineRule="exact"/>
        <w:jc w:val="left"/>
        <w:rPr>
          <w:rFonts w:ascii="黑体" w:hAnsi="宋体" w:eastAsia="黑体" w:cs="Arial"/>
          <w:color w:val="000000"/>
          <w:kern w:val="0"/>
          <w:sz w:val="32"/>
          <w:szCs w:val="32"/>
        </w:rPr>
      </w:pPr>
      <w:r>
        <w:rPr>
          <w:rFonts w:hint="eastAsia" w:ascii="仿宋_GB2312" w:hAnsi="宋体" w:eastAsia="仿宋_GB2312" w:cs="Arial"/>
          <w:color w:val="000000"/>
          <w:kern w:val="0"/>
          <w:sz w:val="32"/>
          <w:szCs w:val="32"/>
        </w:rPr>
        <w:br w:type="page"/>
      </w:r>
      <w:r>
        <w:rPr>
          <w:rFonts w:hint="eastAsia" w:ascii="宋体" w:hAnsi="宋体"/>
          <w:b/>
          <w:bCs/>
          <w:color w:val="000000"/>
          <w:kern w:val="0"/>
          <w:sz w:val="24"/>
          <w:szCs w:val="24"/>
        </w:rPr>
        <w:t>附件2：</w:t>
      </w:r>
    </w:p>
    <w:p>
      <w:pPr>
        <w:widowControl/>
        <w:spacing w:line="560" w:lineRule="exact"/>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生物类安全事故应急处置措施</w:t>
      </w:r>
    </w:p>
    <w:p>
      <w:pPr>
        <w:widowControl/>
        <w:spacing w:line="560" w:lineRule="exact"/>
        <w:jc w:val="center"/>
        <w:rPr>
          <w:rFonts w:ascii="方正小标宋简体" w:hAnsi="宋体" w:eastAsia="方正小标宋简体" w:cs="Arial"/>
          <w:color w:val="000000"/>
          <w:kern w:val="0"/>
          <w:sz w:val="44"/>
          <w:szCs w:val="44"/>
        </w:rPr>
      </w:pPr>
    </w:p>
    <w:p>
      <w:pPr>
        <w:widowControl/>
        <w:spacing w:line="240" w:lineRule="exact"/>
        <w:jc w:val="center"/>
        <w:rPr>
          <w:rFonts w:ascii="方正小标宋简体" w:hAnsi="宋体" w:eastAsia="方正小标宋简体" w:cs="Arial"/>
          <w:color w:val="000000"/>
          <w:kern w:val="0"/>
          <w:sz w:val="44"/>
          <w:szCs w:val="44"/>
        </w:rPr>
      </w:pP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一、病原微生物污染事故处置措施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（一）立即组织现场人员撤离到安全地带，封闭被病原微生物污染的实验室或可能造成病原微生物扩散的场所，避免病原微生物扩散。</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（二）迅速安排有关人员进行医学观察或者隔离治疗。</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立即报告卫生部门，组织有经验的工作人员和卫生防护人员进入事故区，消除可能导致病原微生物污染事故扩大的隐患，对污染区进行必要的安全处理，包括对污染区域进行彻底的消毒或销毁；对小隔离区进行终末消毒等。</w:t>
      </w: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二、动物源疫病传播事故处置措施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（一）对染疫或者疑似染疫的动物进行隔离、扑杀；对饲养室和实验室内外环境采取严格的消毒、杀虫、灭鼠等措施。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（二）发生实验动物烈性传染病和人畜共患病时，按操作规程立即隔离、处死患病动物，进行无害化处理，并立即报告相关部门。</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（三）配合上级行政部门实施预防和控制方案，包括开展流行病学调查，对病人进行隔离治疗，对相关人员进行医学检查，对密切接触者进行医学观察等。</w:t>
      </w: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widowControl/>
        <w:jc w:val="left"/>
        <w:rPr>
          <w:rFonts w:ascii="黑体" w:hAnsi="宋体" w:eastAsia="黑体" w:cs="Arial"/>
          <w:color w:val="000000"/>
          <w:kern w:val="0"/>
          <w:sz w:val="32"/>
          <w:szCs w:val="32"/>
        </w:rPr>
      </w:pPr>
      <w:r>
        <w:rPr>
          <w:rFonts w:ascii="黑体" w:hAnsi="宋体" w:eastAsia="黑体" w:cs="Arial"/>
          <w:color w:val="000000"/>
          <w:kern w:val="0"/>
          <w:sz w:val="32"/>
          <w:szCs w:val="32"/>
        </w:rPr>
        <w:br w:type="page"/>
      </w:r>
    </w:p>
    <w:p>
      <w:pPr>
        <w:adjustRightInd w:val="0"/>
        <w:snapToGrid w:val="0"/>
        <w:spacing w:line="560" w:lineRule="exact"/>
        <w:rPr>
          <w:rFonts w:ascii="宋体" w:hAnsi="宋体"/>
          <w:b/>
          <w:bCs/>
          <w:color w:val="000000"/>
          <w:kern w:val="0"/>
          <w:sz w:val="24"/>
          <w:szCs w:val="24"/>
        </w:rPr>
      </w:pPr>
      <w:r>
        <w:rPr>
          <w:rFonts w:hint="eastAsia" w:ascii="宋体" w:hAnsi="宋体"/>
          <w:b/>
          <w:bCs/>
          <w:color w:val="000000"/>
          <w:kern w:val="0"/>
          <w:sz w:val="24"/>
          <w:szCs w:val="24"/>
        </w:rPr>
        <w:t>附件3：</w:t>
      </w:r>
    </w:p>
    <w:p>
      <w:pPr>
        <w:widowControl/>
        <w:spacing w:line="560" w:lineRule="exact"/>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辐射类安全事故应急处置措施</w:t>
      </w:r>
    </w:p>
    <w:p>
      <w:pPr>
        <w:widowControl/>
        <w:spacing w:line="560" w:lineRule="exact"/>
        <w:jc w:val="center"/>
        <w:rPr>
          <w:rFonts w:ascii="方正小标宋简体" w:hAnsi="宋体" w:eastAsia="方正小标宋简体" w:cs="Arial"/>
          <w:color w:val="000000"/>
          <w:kern w:val="0"/>
          <w:sz w:val="44"/>
          <w:szCs w:val="44"/>
        </w:rPr>
      </w:pPr>
    </w:p>
    <w:p>
      <w:pPr>
        <w:widowControl/>
        <w:spacing w:line="240" w:lineRule="exact"/>
        <w:jc w:val="center"/>
        <w:rPr>
          <w:rFonts w:ascii="方正小标宋简体" w:hAnsi="宋体" w:eastAsia="方正小标宋简体" w:cs="Arial"/>
          <w:color w:val="000000"/>
          <w:kern w:val="0"/>
          <w:sz w:val="44"/>
          <w:szCs w:val="44"/>
        </w:rPr>
      </w:pP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一、射线误照或照射剂量超标事故处置措施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（一）立即组织现场人员撤离到安全地带，组织封锁现场。</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（二）迅速安排受照人员接受医学检查或者在指定的医疗机构救治。</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（三）组织有经验的工作人员和卫生防护人员进入事故区，消除可能导致放射性突发事故扩大的隐患。</w:t>
      </w: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二、放射源丢失、被盗事故处置措施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（一）立即向公安、环境保护等部门报告。</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（二）组织保护现场，配合公安、环境保护等部门的调查。</w:t>
      </w: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仿宋_GB2312" w:hAnsi="宋体" w:eastAsia="仿宋_GB2312"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adjustRightInd w:val="0"/>
        <w:snapToGrid w:val="0"/>
        <w:spacing w:line="560" w:lineRule="exact"/>
        <w:rPr>
          <w:rFonts w:ascii="黑体" w:hAnsi="宋体" w:eastAsia="黑体" w:cs="Arial"/>
          <w:color w:val="000000"/>
          <w:kern w:val="0"/>
          <w:sz w:val="32"/>
          <w:szCs w:val="32"/>
        </w:rPr>
      </w:pPr>
    </w:p>
    <w:p>
      <w:pPr>
        <w:widowControl/>
        <w:jc w:val="left"/>
        <w:rPr>
          <w:rFonts w:ascii="黑体" w:hAnsi="宋体" w:eastAsia="黑体" w:cs="Arial"/>
          <w:color w:val="000000"/>
          <w:kern w:val="0"/>
          <w:sz w:val="32"/>
          <w:szCs w:val="32"/>
        </w:rPr>
      </w:pPr>
      <w:r>
        <w:rPr>
          <w:rFonts w:ascii="黑体" w:hAnsi="宋体" w:eastAsia="黑体" w:cs="Arial"/>
          <w:color w:val="000000"/>
          <w:kern w:val="0"/>
          <w:sz w:val="32"/>
          <w:szCs w:val="32"/>
        </w:rPr>
        <w:br w:type="page"/>
      </w:r>
    </w:p>
    <w:p>
      <w:pPr>
        <w:adjustRightInd w:val="0"/>
        <w:snapToGrid w:val="0"/>
        <w:spacing w:line="560" w:lineRule="exact"/>
        <w:rPr>
          <w:rFonts w:ascii="宋体" w:hAnsi="宋体"/>
          <w:b/>
          <w:bCs/>
          <w:color w:val="000000"/>
          <w:kern w:val="0"/>
          <w:sz w:val="24"/>
          <w:szCs w:val="24"/>
        </w:rPr>
      </w:pPr>
      <w:r>
        <w:rPr>
          <w:rFonts w:hint="eastAsia" w:ascii="宋体" w:hAnsi="宋体"/>
          <w:b/>
          <w:bCs/>
          <w:color w:val="000000"/>
          <w:kern w:val="0"/>
          <w:sz w:val="24"/>
          <w:szCs w:val="24"/>
        </w:rPr>
        <w:t>附件4：</w:t>
      </w:r>
    </w:p>
    <w:p>
      <w:pPr>
        <w:widowControl/>
        <w:spacing w:line="560" w:lineRule="exact"/>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特种设备类安全事故应急处置措施</w:t>
      </w:r>
    </w:p>
    <w:p>
      <w:pPr>
        <w:widowControl/>
        <w:spacing w:line="560" w:lineRule="exact"/>
        <w:jc w:val="center"/>
        <w:rPr>
          <w:rFonts w:ascii="黑体" w:hAnsi="黑体" w:eastAsia="黑体" w:cs="黑体"/>
          <w:color w:val="000000"/>
          <w:kern w:val="0"/>
          <w:sz w:val="44"/>
          <w:szCs w:val="44"/>
        </w:rPr>
      </w:pPr>
    </w:p>
    <w:p>
      <w:pPr>
        <w:widowControl/>
        <w:spacing w:line="240" w:lineRule="exact"/>
        <w:jc w:val="center"/>
        <w:rPr>
          <w:rFonts w:ascii="方正小标宋简体" w:hAnsi="Dotum" w:eastAsia="方正小标宋简体" w:cs="Arial"/>
          <w:color w:val="000000"/>
          <w:kern w:val="0"/>
          <w:sz w:val="44"/>
          <w:szCs w:val="44"/>
        </w:rPr>
      </w:pP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 xml:space="preserve">一、特种设备爆炸事故处置措施 </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对压力容器、压力管道爆炸事故，应迅速关闭容器和管道的所有阀门，无法关闭的应采取堵漏措施；对压力容器、压力管道内的可燃气体和油类，应使用沙石或二氧化碳、干粉等灭火器进行灭火；对受伤人员立即实行现场救护。</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（二）对锅炉及其蒸气管道爆炸事故，应设法躲避爆炸物和高温水、汽，在可能的情况下尽快组织现场人员撤离。在爆炸结束后立即查看是否有伤亡人员，并进行救助。</w:t>
      </w: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二、特种设备泄漏事故处置措施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（一）压力容器、压力管道及相关设备发生泄漏时应紧急停用，并关闭前置阀门或采用合适的材料堵住泄漏处以控制泄漏源。</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（二）进入泄漏现场进行处理时严禁单独行动，并根据防护等级标准选择相应等级的个人安全防护措施，包括佩带防毒面具等。</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（三）根据事故情况和事故发展，应急处置工作组确定事故可能波及的区域范围，将区域内人员疏散至泄漏区域的侧风向或上风向等安全地带，并根据泄漏物影响范围划定警戒区域。</w:t>
      </w: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三、特种设备火灾事故处置措施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根据压力容器、压力管道内盛装的介质选择合适的灭火方式，灭火人员应佩戴防毒面具以避免中毒危险。</w:t>
      </w:r>
    </w:p>
    <w:p>
      <w:pPr>
        <w:adjustRightInd w:val="0"/>
        <w:snapToGrid w:val="0"/>
        <w:spacing w:line="480" w:lineRule="exact"/>
        <w:ind w:firstLine="660" w:firstLineChars="275"/>
        <w:rPr>
          <w:rFonts w:ascii="黑体" w:hAnsi="黑体" w:eastAsia="黑体" w:cs="黑体"/>
          <w:color w:val="000000"/>
          <w:kern w:val="0"/>
          <w:sz w:val="24"/>
          <w:szCs w:val="24"/>
        </w:rPr>
      </w:pPr>
      <w:r>
        <w:rPr>
          <w:rFonts w:hint="eastAsia" w:ascii="黑体" w:hAnsi="黑体" w:eastAsia="黑体" w:cs="黑体"/>
          <w:color w:val="000000"/>
          <w:kern w:val="0"/>
          <w:sz w:val="24"/>
          <w:szCs w:val="24"/>
        </w:rPr>
        <w:t>四、起重设备事故处置措施</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一）电动葫芦、吊车等起重设备吊运重物时如遇突然停电或设备突然发生故障，作业人员和指挥人员不得离开现场，并要设立警戒区以防无关人员进入危险区，待电力恢复或设备维修恢复正常，将吊运的重物放好后方能离开。</w:t>
      </w:r>
    </w:p>
    <w:p>
      <w:pPr>
        <w:adjustRightInd w:val="0"/>
        <w:snapToGrid w:val="0"/>
        <w:spacing w:line="480" w:lineRule="exact"/>
        <w:ind w:firstLine="540" w:firstLineChars="225"/>
        <w:rPr>
          <w:rFonts w:ascii="宋体" w:hAnsi="宋体"/>
          <w:color w:val="000000"/>
          <w:kern w:val="0"/>
          <w:sz w:val="24"/>
          <w:szCs w:val="24"/>
        </w:rPr>
      </w:pPr>
      <w:r>
        <w:rPr>
          <w:rFonts w:hint="eastAsia" w:ascii="宋体" w:hAnsi="宋体"/>
          <w:color w:val="000000"/>
          <w:kern w:val="0"/>
          <w:sz w:val="24"/>
          <w:szCs w:val="24"/>
        </w:rPr>
        <w:t>（二）如遇吊物失控或起重机倾覆造成人员受伤亡的，应立即实行现场救护。</w:t>
      </w:r>
    </w:p>
    <w:p>
      <w:pPr>
        <w:adjustRightInd w:val="0"/>
        <w:snapToGrid w:val="0"/>
        <w:spacing w:line="480" w:lineRule="exact"/>
        <w:ind w:firstLine="540" w:firstLineChars="225"/>
        <w:rPr>
          <w:rFonts w:ascii="宋体" w:hAnsi="宋体"/>
          <w:color w:val="000000"/>
          <w:kern w:val="0"/>
          <w:sz w:val="24"/>
          <w:szCs w:val="24"/>
        </w:rPr>
      </w:pPr>
    </w:p>
    <w:p>
      <w:pPr>
        <w:widowControl/>
        <w:jc w:val="left"/>
        <w:rPr>
          <w:rFonts w:ascii="宋体" w:hAnsi="宋体"/>
          <w:color w:val="000000"/>
          <w:kern w:val="0"/>
          <w:sz w:val="24"/>
          <w:szCs w:val="24"/>
        </w:rPr>
      </w:pPr>
      <w:r>
        <w:rPr>
          <w:rFonts w:ascii="宋体" w:hAnsi="宋体"/>
          <w:color w:val="000000"/>
          <w:kern w:val="0"/>
          <w:sz w:val="24"/>
          <w:szCs w:val="24"/>
        </w:rPr>
        <w:br w:type="page"/>
      </w:r>
    </w:p>
    <w:p>
      <w:pPr>
        <w:pStyle w:val="2"/>
      </w:pPr>
      <w:bookmarkStart w:id="46" w:name="_Toc46402432"/>
      <w:r>
        <w:rPr>
          <w:rFonts w:hint="eastAsia"/>
        </w:rPr>
        <w:t>衢州学院化学危险品安全管理办法</w:t>
      </w:r>
      <w:bookmarkEnd w:id="17"/>
      <w:bookmarkEnd w:id="18"/>
      <w:bookmarkEnd w:id="19"/>
      <w:bookmarkEnd w:id="20"/>
      <w:bookmarkEnd w:id="46"/>
    </w:p>
    <w:p>
      <w:pPr>
        <w:numPr>
          <w:ilvl w:val="0"/>
          <w:numId w:val="4"/>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总则</w:t>
      </w:r>
    </w:p>
    <w:p>
      <w:pPr>
        <w:spacing w:line="480" w:lineRule="exact"/>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第一条</w:t>
      </w:r>
      <w:r>
        <w:rPr>
          <w:rFonts w:hint="eastAsia" w:ascii="宋体" w:hAnsi="宋体"/>
          <w:bCs/>
          <w:sz w:val="24"/>
          <w:szCs w:val="24"/>
        </w:rPr>
        <w:t xml:space="preserve"> 为加强化学危险品的安全监督管理，保障学校和师生的生命财产安全，保证学校教学、科研工作的顺利进行，根据国务院《危险化学品安全管理条例》和公安部门有关规定，结合学校实际，制定本办法。</w:t>
      </w:r>
    </w:p>
    <w:p>
      <w:pPr>
        <w:spacing w:line="480" w:lineRule="exact"/>
        <w:ind w:firstLine="472" w:firstLineChars="196"/>
        <w:rPr>
          <w:rFonts w:ascii="宋体" w:hAnsi="宋体"/>
          <w:bCs/>
          <w:sz w:val="24"/>
          <w:szCs w:val="24"/>
        </w:rPr>
      </w:pPr>
      <w:r>
        <w:rPr>
          <w:rFonts w:hint="eastAsia" w:ascii="宋体" w:hAnsi="宋体"/>
          <w:b/>
          <w:sz w:val="24"/>
          <w:szCs w:val="24"/>
        </w:rPr>
        <w:t>第二条</w:t>
      </w:r>
      <w:r>
        <w:rPr>
          <w:rFonts w:hint="eastAsia" w:ascii="宋体" w:hAnsi="宋体"/>
          <w:bCs/>
          <w:sz w:val="24"/>
          <w:szCs w:val="24"/>
        </w:rPr>
        <w:t xml:space="preserve"> 本办法所称化学危险物品，系指国家标准《危险货物的分类与品名编号》中所列的爆炸品、压缩气体和液化气体、易燃液体、易燃固体、自燃物品、易燃物品、氧化剂和有机过氧化物、有毒品和腐蚀品等九大类物品。</w:t>
      </w:r>
    </w:p>
    <w:p>
      <w:pPr>
        <w:spacing w:line="480" w:lineRule="exact"/>
        <w:ind w:firstLine="472" w:firstLineChars="196"/>
        <w:rPr>
          <w:rFonts w:ascii="宋体" w:hAnsi="宋体"/>
          <w:bCs/>
          <w:sz w:val="24"/>
          <w:szCs w:val="24"/>
        </w:rPr>
      </w:pPr>
      <w:r>
        <w:rPr>
          <w:rFonts w:hint="eastAsia" w:ascii="宋体" w:hAnsi="宋体"/>
          <w:b/>
          <w:sz w:val="24"/>
          <w:szCs w:val="24"/>
        </w:rPr>
        <w:t>第三条</w:t>
      </w:r>
      <w:r>
        <w:rPr>
          <w:rFonts w:hint="eastAsia" w:ascii="宋体" w:hAnsi="宋体"/>
          <w:bCs/>
          <w:sz w:val="24"/>
          <w:szCs w:val="24"/>
        </w:rPr>
        <w:t xml:space="preserve"> 本办法适用于本校内涉及化学危险品的教学、实验和科研场所的安全监督管理活动。</w:t>
      </w:r>
    </w:p>
    <w:p>
      <w:pPr>
        <w:spacing w:line="480" w:lineRule="exact"/>
        <w:rPr>
          <w:rFonts w:ascii="宋体" w:hAnsi="宋体"/>
          <w:bCs/>
          <w:sz w:val="24"/>
          <w:szCs w:val="24"/>
        </w:rPr>
      </w:pPr>
    </w:p>
    <w:p>
      <w:pPr>
        <w:numPr>
          <w:ilvl w:val="0"/>
          <w:numId w:val="4"/>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化学危险品采购</w:t>
      </w:r>
    </w:p>
    <w:p>
      <w:pPr>
        <w:spacing w:line="480" w:lineRule="exact"/>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第四条</w:t>
      </w:r>
      <w:r>
        <w:rPr>
          <w:rFonts w:hint="eastAsia" w:ascii="宋体" w:hAnsi="宋体"/>
          <w:bCs/>
          <w:sz w:val="24"/>
          <w:szCs w:val="24"/>
        </w:rPr>
        <w:t xml:space="preserve"> 严格控制购买化学危险品，实验教学确需购买化学危险品的，须经实验室主任拟定数量，由使用部门负责人审批后报学校实验室与设备管理处。</w:t>
      </w:r>
    </w:p>
    <w:p>
      <w:pPr>
        <w:spacing w:line="480" w:lineRule="exact"/>
        <w:ind w:firstLine="472" w:firstLineChars="196"/>
        <w:rPr>
          <w:rFonts w:ascii="宋体" w:hAnsi="宋体"/>
          <w:bCs/>
          <w:sz w:val="24"/>
          <w:szCs w:val="24"/>
        </w:rPr>
      </w:pPr>
      <w:r>
        <w:rPr>
          <w:rFonts w:hint="eastAsia" w:ascii="宋体" w:hAnsi="宋体"/>
          <w:b/>
          <w:sz w:val="24"/>
          <w:szCs w:val="24"/>
        </w:rPr>
        <w:t>第五条</w:t>
      </w:r>
      <w:r>
        <w:rPr>
          <w:rFonts w:hint="eastAsia" w:ascii="宋体" w:hAnsi="宋体"/>
          <w:bCs/>
          <w:sz w:val="24"/>
          <w:szCs w:val="24"/>
        </w:rPr>
        <w:t xml:space="preserve"> 只允许在政府指定单位按程序办理化学危险品的相关采购。</w:t>
      </w:r>
    </w:p>
    <w:p>
      <w:pPr>
        <w:spacing w:line="480" w:lineRule="exact"/>
        <w:ind w:firstLine="472" w:firstLineChars="196"/>
        <w:rPr>
          <w:rFonts w:ascii="宋体" w:hAnsi="宋体"/>
          <w:bCs/>
          <w:sz w:val="24"/>
          <w:szCs w:val="24"/>
        </w:rPr>
      </w:pPr>
      <w:r>
        <w:rPr>
          <w:rFonts w:hint="eastAsia" w:ascii="宋体" w:hAnsi="宋体"/>
          <w:b/>
          <w:sz w:val="24"/>
          <w:szCs w:val="24"/>
        </w:rPr>
        <w:t>第六条</w:t>
      </w:r>
      <w:r>
        <w:rPr>
          <w:rFonts w:hint="eastAsia" w:ascii="宋体" w:hAnsi="宋体"/>
          <w:bCs/>
          <w:sz w:val="24"/>
          <w:szCs w:val="24"/>
        </w:rPr>
        <w:t xml:space="preserve"> 化学危险品入库前，须进行检查登记，发现入库品中有质量不合格，产品名称、包装、数量、规格不符合的不能入库，由采购人员负责退货或更换。</w:t>
      </w:r>
    </w:p>
    <w:p>
      <w:pPr>
        <w:spacing w:line="480" w:lineRule="exact"/>
        <w:ind w:firstLine="472" w:firstLineChars="196"/>
        <w:rPr>
          <w:rFonts w:ascii="宋体" w:hAnsi="宋体"/>
          <w:bCs/>
          <w:sz w:val="24"/>
          <w:szCs w:val="24"/>
        </w:rPr>
      </w:pPr>
      <w:r>
        <w:rPr>
          <w:rFonts w:hint="eastAsia" w:ascii="宋体" w:hAnsi="宋体"/>
          <w:b/>
          <w:sz w:val="24"/>
          <w:szCs w:val="24"/>
        </w:rPr>
        <w:t>第七条</w:t>
      </w:r>
      <w:r>
        <w:rPr>
          <w:rFonts w:hint="eastAsia" w:ascii="宋体" w:hAnsi="宋体"/>
          <w:bCs/>
          <w:sz w:val="24"/>
          <w:szCs w:val="24"/>
        </w:rPr>
        <w:t xml:space="preserve"> 化学危险品运输必须委托专门的车辆，装运化学危险品时不得客货混装。禁止随身携带、夹带化学危险品乘坐公共交通工具。运输过程中采购人员要亲自押运。搬运过程中，要轻拿轻放，防止震动、撞击、重压、倾倒和摩擦。</w:t>
      </w:r>
    </w:p>
    <w:p>
      <w:pPr>
        <w:spacing w:line="480" w:lineRule="exact"/>
        <w:rPr>
          <w:rFonts w:ascii="宋体" w:hAnsi="宋体"/>
          <w:bCs/>
          <w:sz w:val="24"/>
          <w:szCs w:val="24"/>
        </w:rPr>
      </w:pPr>
    </w:p>
    <w:p>
      <w:pPr>
        <w:numPr>
          <w:ilvl w:val="0"/>
          <w:numId w:val="4"/>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化学危险品储存</w:t>
      </w:r>
    </w:p>
    <w:p>
      <w:pPr>
        <w:spacing w:line="480" w:lineRule="exact"/>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第八条</w:t>
      </w:r>
      <w:r>
        <w:rPr>
          <w:rFonts w:hint="eastAsia" w:ascii="宋体" w:hAnsi="宋体"/>
          <w:bCs/>
          <w:sz w:val="24"/>
          <w:szCs w:val="24"/>
        </w:rPr>
        <w:t xml:space="preserve"> 化学危险品应当分类、分项存放，相互之间保持安全距离，不准与其他药品混放。化学性质、防护和灭火方法相互抵触的化学危险品，不得在同一仓库或同一储存室内存放。</w:t>
      </w:r>
    </w:p>
    <w:p>
      <w:pPr>
        <w:spacing w:line="460" w:lineRule="exact"/>
        <w:ind w:firstLine="472" w:firstLineChars="196"/>
        <w:rPr>
          <w:rFonts w:ascii="宋体" w:hAnsi="宋体"/>
          <w:bCs/>
          <w:sz w:val="24"/>
          <w:szCs w:val="24"/>
        </w:rPr>
      </w:pPr>
      <w:r>
        <w:rPr>
          <w:rFonts w:hint="eastAsia" w:ascii="宋体" w:hAnsi="宋体"/>
          <w:b/>
          <w:sz w:val="24"/>
          <w:szCs w:val="24"/>
        </w:rPr>
        <w:t>第九条</w:t>
      </w:r>
      <w:r>
        <w:rPr>
          <w:rFonts w:hint="eastAsia" w:ascii="宋体" w:hAnsi="宋体"/>
          <w:bCs/>
          <w:sz w:val="24"/>
          <w:szCs w:val="24"/>
        </w:rPr>
        <w:t xml:space="preserve"> 遇火、遇潮容易燃烧、爆炸或产生有毒气体的化学危险品，不得在露天、潮湿、漏雨和低洼容易积水的地点存放；受阳光照射易燃烧、易爆炸或产生有毒气体的化学危险品和桶装、罐装等易燃液体、气体应当在阴凉通风地点存放。</w:t>
      </w:r>
    </w:p>
    <w:p>
      <w:pPr>
        <w:spacing w:line="460" w:lineRule="exact"/>
        <w:ind w:firstLine="472" w:firstLineChars="196"/>
        <w:rPr>
          <w:rFonts w:ascii="宋体" w:hAnsi="宋体"/>
          <w:bCs/>
          <w:sz w:val="24"/>
          <w:szCs w:val="24"/>
        </w:rPr>
      </w:pPr>
      <w:r>
        <w:rPr>
          <w:rFonts w:hint="eastAsia" w:ascii="宋体" w:hAnsi="宋体"/>
          <w:b/>
          <w:sz w:val="24"/>
          <w:szCs w:val="24"/>
        </w:rPr>
        <w:t>第十条</w:t>
      </w:r>
      <w:r>
        <w:rPr>
          <w:rFonts w:hint="eastAsia" w:ascii="宋体" w:hAnsi="宋体"/>
          <w:bCs/>
          <w:sz w:val="24"/>
          <w:szCs w:val="24"/>
        </w:rPr>
        <w:t xml:space="preserve"> 化学危险品的存放区域应设置醒目的安全标志, 防止因混淆发生事故。存放剧毒物品的部门必须备有保险箱，存放剧毒物品的保险箱钥匙应安全保管。</w:t>
      </w:r>
    </w:p>
    <w:p>
      <w:pPr>
        <w:spacing w:line="460" w:lineRule="exact"/>
        <w:rPr>
          <w:rFonts w:ascii="宋体" w:hAnsi="宋体"/>
          <w:bCs/>
          <w:sz w:val="24"/>
          <w:szCs w:val="24"/>
        </w:rPr>
      </w:pPr>
    </w:p>
    <w:p>
      <w:pPr>
        <w:numPr>
          <w:ilvl w:val="0"/>
          <w:numId w:val="4"/>
        </w:numPr>
        <w:spacing w:line="460" w:lineRule="exact"/>
        <w:jc w:val="center"/>
        <w:rPr>
          <w:rFonts w:ascii="黑体" w:hAnsi="黑体" w:eastAsia="黑体" w:cs="黑体"/>
          <w:bCs/>
          <w:sz w:val="32"/>
          <w:szCs w:val="32"/>
        </w:rPr>
      </w:pPr>
      <w:r>
        <w:rPr>
          <w:rFonts w:hint="eastAsia" w:ascii="黑体" w:hAnsi="黑体" w:eastAsia="黑体" w:cs="黑体"/>
          <w:bCs/>
          <w:sz w:val="32"/>
          <w:szCs w:val="32"/>
        </w:rPr>
        <w:t xml:space="preserve"> 化学危险品管理</w:t>
      </w:r>
    </w:p>
    <w:p>
      <w:pPr>
        <w:spacing w:line="460" w:lineRule="exact"/>
        <w:rPr>
          <w:rFonts w:ascii="宋体" w:hAnsi="宋体"/>
          <w:bCs/>
          <w:sz w:val="24"/>
          <w:szCs w:val="24"/>
        </w:rPr>
      </w:pPr>
    </w:p>
    <w:p>
      <w:pPr>
        <w:spacing w:line="460" w:lineRule="exact"/>
        <w:ind w:firstLine="472" w:firstLineChars="196"/>
        <w:rPr>
          <w:rFonts w:ascii="宋体" w:hAnsi="宋体"/>
          <w:bCs/>
          <w:sz w:val="24"/>
          <w:szCs w:val="24"/>
        </w:rPr>
      </w:pPr>
      <w:r>
        <w:rPr>
          <w:rFonts w:hint="eastAsia" w:ascii="宋体" w:hAnsi="宋体"/>
          <w:b/>
          <w:sz w:val="24"/>
          <w:szCs w:val="24"/>
        </w:rPr>
        <w:t>第十一条</w:t>
      </w:r>
      <w:r>
        <w:rPr>
          <w:rFonts w:hint="eastAsia" w:ascii="宋体" w:hAnsi="宋体"/>
          <w:bCs/>
          <w:sz w:val="24"/>
          <w:szCs w:val="24"/>
        </w:rPr>
        <w:t xml:space="preserve"> 落实保管责任制，责任到人。化学危险品管理人员需报实验室与设备管理处、保卫处备案。管理人员调动，须经部门主管领导批准，做好交接工作，并报实验室与设备管理处、保卫处备案。</w:t>
      </w:r>
    </w:p>
    <w:p>
      <w:pPr>
        <w:spacing w:line="460" w:lineRule="exact"/>
        <w:ind w:firstLine="472" w:firstLineChars="196"/>
        <w:rPr>
          <w:rFonts w:ascii="宋体" w:hAnsi="宋体"/>
          <w:bCs/>
          <w:sz w:val="24"/>
          <w:szCs w:val="24"/>
        </w:rPr>
      </w:pPr>
      <w:r>
        <w:rPr>
          <w:rFonts w:hint="eastAsia" w:ascii="宋体" w:hAnsi="宋体"/>
          <w:b/>
          <w:sz w:val="24"/>
          <w:szCs w:val="24"/>
        </w:rPr>
        <w:t>第十二条</w:t>
      </w:r>
      <w:r>
        <w:rPr>
          <w:rFonts w:hint="eastAsia" w:ascii="宋体" w:hAnsi="宋体"/>
          <w:bCs/>
          <w:sz w:val="24"/>
          <w:szCs w:val="24"/>
        </w:rPr>
        <w:t xml:space="preserve"> 对剧毒药品，使用部门应有专人管理。剧毒药品保险柜应有两人管锁，两人同时开启。药品入柜存放和配发时，两人均需在场，互相监督签发，及时登记，保证各项手续和记录准确齐全，做到账账、账物相符。用剩物品严加保管。</w:t>
      </w:r>
    </w:p>
    <w:p>
      <w:pPr>
        <w:spacing w:line="460" w:lineRule="exact"/>
        <w:ind w:firstLine="472" w:firstLineChars="196"/>
        <w:rPr>
          <w:rFonts w:ascii="宋体" w:hAnsi="宋体"/>
          <w:bCs/>
          <w:sz w:val="24"/>
          <w:szCs w:val="24"/>
        </w:rPr>
      </w:pPr>
      <w:r>
        <w:rPr>
          <w:rFonts w:hint="eastAsia" w:ascii="宋体" w:hAnsi="宋体"/>
          <w:b/>
          <w:sz w:val="24"/>
          <w:szCs w:val="24"/>
        </w:rPr>
        <w:t>第十三条</w:t>
      </w:r>
      <w:r>
        <w:rPr>
          <w:rFonts w:hint="eastAsia" w:ascii="宋体" w:hAnsi="宋体"/>
          <w:bCs/>
          <w:sz w:val="24"/>
          <w:szCs w:val="24"/>
        </w:rPr>
        <w:t xml:space="preserve"> 保管人员在配发剧毒药品时，要按药品的不同化学性质进行防护，操作完毕要清洗用具。</w:t>
      </w:r>
    </w:p>
    <w:p>
      <w:pPr>
        <w:spacing w:line="460" w:lineRule="exact"/>
        <w:ind w:firstLine="472" w:firstLineChars="196"/>
        <w:rPr>
          <w:rFonts w:ascii="宋体" w:hAnsi="宋体"/>
          <w:bCs/>
          <w:sz w:val="24"/>
          <w:szCs w:val="24"/>
        </w:rPr>
      </w:pPr>
      <w:r>
        <w:rPr>
          <w:rFonts w:hint="eastAsia" w:ascii="宋体" w:hAnsi="宋体"/>
          <w:b/>
          <w:sz w:val="24"/>
          <w:szCs w:val="24"/>
        </w:rPr>
        <w:t>第十四条</w:t>
      </w:r>
      <w:r>
        <w:rPr>
          <w:rFonts w:hint="eastAsia" w:ascii="宋体" w:hAnsi="宋体"/>
          <w:bCs/>
          <w:sz w:val="24"/>
          <w:szCs w:val="24"/>
        </w:rPr>
        <w:t xml:space="preserve"> 化学危险品存放地点严禁闲人进入，保管人员工作结束离开前要进行安全检查。</w:t>
      </w:r>
    </w:p>
    <w:p>
      <w:pPr>
        <w:spacing w:line="460" w:lineRule="exact"/>
        <w:rPr>
          <w:rFonts w:ascii="宋体" w:hAnsi="宋体"/>
          <w:bCs/>
          <w:sz w:val="24"/>
          <w:szCs w:val="24"/>
        </w:rPr>
      </w:pPr>
    </w:p>
    <w:p>
      <w:pPr>
        <w:numPr>
          <w:ilvl w:val="0"/>
          <w:numId w:val="4"/>
        </w:numPr>
        <w:spacing w:line="460" w:lineRule="exact"/>
        <w:jc w:val="center"/>
        <w:rPr>
          <w:rFonts w:ascii="黑体" w:hAnsi="黑体" w:eastAsia="黑体" w:cs="黑体"/>
          <w:bCs/>
          <w:sz w:val="32"/>
          <w:szCs w:val="32"/>
        </w:rPr>
      </w:pPr>
      <w:r>
        <w:rPr>
          <w:rFonts w:hint="eastAsia" w:ascii="黑体" w:hAnsi="黑体" w:eastAsia="黑体" w:cs="黑体"/>
          <w:bCs/>
          <w:sz w:val="32"/>
          <w:szCs w:val="32"/>
        </w:rPr>
        <w:t xml:space="preserve"> 化学危险品的使用</w:t>
      </w:r>
    </w:p>
    <w:p>
      <w:pPr>
        <w:spacing w:line="460" w:lineRule="exact"/>
        <w:rPr>
          <w:rFonts w:ascii="宋体" w:hAnsi="宋体"/>
          <w:bCs/>
          <w:sz w:val="24"/>
          <w:szCs w:val="24"/>
        </w:rPr>
      </w:pPr>
    </w:p>
    <w:p>
      <w:pPr>
        <w:spacing w:line="460" w:lineRule="exact"/>
        <w:ind w:firstLine="472" w:firstLineChars="196"/>
        <w:rPr>
          <w:rFonts w:ascii="宋体" w:hAnsi="宋体"/>
          <w:bCs/>
          <w:sz w:val="24"/>
          <w:szCs w:val="24"/>
        </w:rPr>
      </w:pPr>
      <w:r>
        <w:rPr>
          <w:rFonts w:hint="eastAsia" w:ascii="宋体" w:hAnsi="宋体"/>
          <w:b/>
          <w:sz w:val="24"/>
          <w:szCs w:val="24"/>
        </w:rPr>
        <w:t>第十五条</w:t>
      </w:r>
      <w:r>
        <w:rPr>
          <w:rFonts w:hint="eastAsia" w:ascii="宋体" w:hAnsi="宋体"/>
          <w:bCs/>
          <w:sz w:val="24"/>
          <w:szCs w:val="24"/>
        </w:rPr>
        <w:t xml:space="preserve"> 化学危险品的管理人员，要严格遵守出入库管理制度，精确计量和记载，严加保管，审批手续完备才能予以发放。 </w:t>
      </w:r>
    </w:p>
    <w:p>
      <w:pPr>
        <w:spacing w:line="460" w:lineRule="exact"/>
        <w:ind w:firstLine="472" w:firstLineChars="196"/>
        <w:rPr>
          <w:rFonts w:ascii="宋体" w:hAnsi="宋体"/>
          <w:bCs/>
          <w:sz w:val="24"/>
          <w:szCs w:val="24"/>
        </w:rPr>
      </w:pPr>
      <w:r>
        <w:rPr>
          <w:rFonts w:hint="eastAsia" w:ascii="宋体" w:hAnsi="宋体"/>
          <w:b/>
          <w:sz w:val="24"/>
          <w:szCs w:val="24"/>
        </w:rPr>
        <w:t>第十六条</w:t>
      </w:r>
      <w:r>
        <w:rPr>
          <w:rFonts w:hint="eastAsia" w:ascii="宋体" w:hAnsi="宋体"/>
          <w:bCs/>
          <w:sz w:val="24"/>
          <w:szCs w:val="24"/>
        </w:rPr>
        <w:t xml:space="preserve"> 使用化学危险品的人员，必须严格遵守各项安全制度和操作规程，学生实验必须在教师的严密指导下进行，确保安全，以防事故。</w:t>
      </w:r>
    </w:p>
    <w:p>
      <w:pPr>
        <w:spacing w:line="460" w:lineRule="exact"/>
        <w:ind w:firstLine="472" w:firstLineChars="196"/>
        <w:rPr>
          <w:rFonts w:ascii="宋体" w:hAnsi="宋体"/>
          <w:bCs/>
          <w:sz w:val="24"/>
          <w:szCs w:val="24"/>
        </w:rPr>
      </w:pPr>
      <w:r>
        <w:rPr>
          <w:rFonts w:hint="eastAsia" w:ascii="宋体" w:hAnsi="宋体"/>
          <w:b/>
          <w:sz w:val="24"/>
          <w:szCs w:val="24"/>
        </w:rPr>
        <w:t>第十七条</w:t>
      </w:r>
      <w:r>
        <w:rPr>
          <w:rFonts w:hint="eastAsia" w:ascii="宋体" w:hAnsi="宋体"/>
          <w:bCs/>
          <w:sz w:val="24"/>
          <w:szCs w:val="24"/>
        </w:rPr>
        <w:t xml:space="preserve"> 贯彻“谁领用谁负责、危险品到哪里责任到哪里”的原则，使用危险品的实验教师要对其使用的全过程负安全责任。实验室主任必须监督化学危险品的安全使用。保卫处同时监管剧毒危险品的使用。</w:t>
      </w:r>
    </w:p>
    <w:p>
      <w:pPr>
        <w:spacing w:line="460" w:lineRule="exact"/>
        <w:ind w:firstLine="472" w:firstLineChars="196"/>
        <w:rPr>
          <w:rFonts w:ascii="宋体" w:hAnsi="宋体"/>
          <w:bCs/>
          <w:sz w:val="24"/>
          <w:szCs w:val="24"/>
        </w:rPr>
      </w:pPr>
      <w:r>
        <w:rPr>
          <w:rFonts w:hint="eastAsia" w:ascii="宋体" w:hAnsi="宋体"/>
          <w:b/>
          <w:sz w:val="24"/>
          <w:szCs w:val="24"/>
        </w:rPr>
        <w:t>第十八条</w:t>
      </w:r>
      <w:r>
        <w:rPr>
          <w:rFonts w:hint="eastAsia" w:ascii="宋体" w:hAnsi="宋体"/>
          <w:bCs/>
          <w:sz w:val="24"/>
          <w:szCs w:val="24"/>
        </w:rPr>
        <w:t xml:space="preserve"> 领用剧毒药品应由实验室专职人员两人提报领用计划，经实验室主任签字，学院批准，并报保卫处和实验室与设备管理处备案后，方可由两人共同领取。</w:t>
      </w:r>
    </w:p>
    <w:p>
      <w:pPr>
        <w:spacing w:line="460" w:lineRule="exact"/>
        <w:ind w:firstLine="472" w:firstLineChars="196"/>
        <w:rPr>
          <w:rFonts w:ascii="宋体" w:hAnsi="宋体"/>
          <w:bCs/>
          <w:sz w:val="24"/>
          <w:szCs w:val="24"/>
        </w:rPr>
      </w:pPr>
      <w:r>
        <w:rPr>
          <w:rFonts w:hint="eastAsia" w:ascii="宋体" w:hAnsi="宋体"/>
          <w:b/>
          <w:sz w:val="24"/>
          <w:szCs w:val="24"/>
        </w:rPr>
        <w:t>第十九条</w:t>
      </w:r>
      <w:r>
        <w:rPr>
          <w:rFonts w:hint="eastAsia" w:ascii="宋体" w:hAnsi="宋体"/>
          <w:bCs/>
          <w:sz w:val="24"/>
          <w:szCs w:val="24"/>
        </w:rPr>
        <w:t xml:space="preserve"> 使用剧毒药品必须填写《剧毒药品使用记录》一式二份，记录使用日期、领取人、使用人、使用班级负责人、实验项目、领取数量、实际用量等，一份由实验室专人保管，一份交实验室与设备处备案。</w:t>
      </w:r>
    </w:p>
    <w:p>
      <w:pPr>
        <w:spacing w:line="460" w:lineRule="exact"/>
        <w:ind w:firstLine="472" w:firstLineChars="196"/>
        <w:rPr>
          <w:rFonts w:ascii="宋体" w:hAnsi="宋体"/>
          <w:bCs/>
          <w:sz w:val="24"/>
          <w:szCs w:val="24"/>
        </w:rPr>
      </w:pPr>
      <w:r>
        <w:rPr>
          <w:rFonts w:hint="eastAsia" w:ascii="宋体" w:hAnsi="宋体"/>
          <w:b/>
          <w:sz w:val="24"/>
          <w:szCs w:val="24"/>
        </w:rPr>
        <w:t>第二十条</w:t>
      </w:r>
      <w:r>
        <w:rPr>
          <w:rFonts w:hint="eastAsia" w:ascii="宋体" w:hAnsi="宋体"/>
          <w:bCs/>
          <w:sz w:val="24"/>
          <w:szCs w:val="24"/>
        </w:rPr>
        <w:t xml:space="preserve"> 盛装化学危险品的容器，在使用前后，必须进行认真检查，消除隐患，防止火灾、爆炸、中毒等事故发生。</w:t>
      </w:r>
    </w:p>
    <w:p>
      <w:pPr>
        <w:spacing w:line="460" w:lineRule="exact"/>
        <w:rPr>
          <w:rFonts w:ascii="宋体" w:hAnsi="宋体"/>
          <w:bCs/>
          <w:sz w:val="24"/>
          <w:szCs w:val="24"/>
        </w:rPr>
      </w:pPr>
    </w:p>
    <w:p>
      <w:pPr>
        <w:numPr>
          <w:ilvl w:val="0"/>
          <w:numId w:val="4"/>
        </w:numPr>
        <w:spacing w:line="460" w:lineRule="exact"/>
        <w:jc w:val="center"/>
        <w:rPr>
          <w:rFonts w:ascii="黑体" w:hAnsi="黑体" w:eastAsia="黑体" w:cs="黑体"/>
          <w:bCs/>
          <w:sz w:val="32"/>
          <w:szCs w:val="32"/>
        </w:rPr>
      </w:pPr>
      <w:r>
        <w:rPr>
          <w:rFonts w:hint="eastAsia" w:ascii="黑体" w:hAnsi="黑体" w:eastAsia="黑体" w:cs="黑体"/>
          <w:bCs/>
          <w:sz w:val="32"/>
          <w:szCs w:val="32"/>
        </w:rPr>
        <w:t xml:space="preserve"> 安全措施和安全设施</w:t>
      </w:r>
    </w:p>
    <w:p>
      <w:pPr>
        <w:spacing w:line="460" w:lineRule="exact"/>
        <w:rPr>
          <w:rFonts w:ascii="宋体" w:hAnsi="宋体"/>
          <w:bCs/>
          <w:sz w:val="24"/>
          <w:szCs w:val="24"/>
        </w:rPr>
      </w:pPr>
    </w:p>
    <w:p>
      <w:pPr>
        <w:spacing w:line="460" w:lineRule="exact"/>
        <w:ind w:firstLine="472" w:firstLineChars="196"/>
        <w:rPr>
          <w:rFonts w:ascii="宋体" w:hAnsi="宋体"/>
          <w:bCs/>
          <w:sz w:val="24"/>
          <w:szCs w:val="24"/>
        </w:rPr>
      </w:pPr>
      <w:r>
        <w:rPr>
          <w:rFonts w:hint="eastAsia" w:ascii="宋体" w:hAnsi="宋体"/>
          <w:b/>
          <w:sz w:val="24"/>
          <w:szCs w:val="24"/>
        </w:rPr>
        <w:t>第二十一条</w:t>
      </w:r>
      <w:r>
        <w:rPr>
          <w:rFonts w:hint="eastAsia" w:ascii="宋体" w:hAnsi="宋体"/>
          <w:bCs/>
          <w:sz w:val="24"/>
          <w:szCs w:val="24"/>
        </w:rPr>
        <w:t xml:space="preserve"> 使用化学危险品的部门应当根据本部门的实际情况和可能发生的事故危害确定防护重点，制定安全防护措施和配备安全防护用具。</w:t>
      </w:r>
    </w:p>
    <w:p>
      <w:pPr>
        <w:spacing w:line="460" w:lineRule="exact"/>
        <w:ind w:firstLine="472" w:firstLineChars="196"/>
        <w:rPr>
          <w:rFonts w:ascii="宋体" w:hAnsi="宋体"/>
          <w:bCs/>
          <w:sz w:val="24"/>
          <w:szCs w:val="24"/>
        </w:rPr>
      </w:pPr>
      <w:r>
        <w:rPr>
          <w:rFonts w:hint="eastAsia" w:ascii="宋体" w:hAnsi="宋体"/>
          <w:b/>
          <w:sz w:val="24"/>
          <w:szCs w:val="24"/>
        </w:rPr>
        <w:t>第二十二条</w:t>
      </w:r>
      <w:r>
        <w:rPr>
          <w:rFonts w:hint="eastAsia" w:ascii="宋体" w:hAnsi="宋体"/>
          <w:bCs/>
          <w:sz w:val="24"/>
          <w:szCs w:val="24"/>
        </w:rPr>
        <w:t xml:space="preserve"> 使用化学危险品的部门应当根据化学危险品的种类、性能，设置相应的通风、防火、防爆、防毒、监测、报警、降温、防潮、避雷、防静电、隔离操作等安全设施。</w:t>
      </w:r>
    </w:p>
    <w:p>
      <w:pPr>
        <w:spacing w:line="460" w:lineRule="exact"/>
        <w:ind w:firstLine="472" w:firstLineChars="196"/>
        <w:rPr>
          <w:rFonts w:ascii="宋体" w:hAnsi="宋体"/>
          <w:bCs/>
          <w:sz w:val="24"/>
          <w:szCs w:val="24"/>
        </w:rPr>
      </w:pPr>
      <w:r>
        <w:rPr>
          <w:rFonts w:hint="eastAsia" w:ascii="宋体" w:hAnsi="宋体"/>
          <w:b/>
          <w:sz w:val="24"/>
          <w:szCs w:val="24"/>
        </w:rPr>
        <w:t>第二十三条</w:t>
      </w:r>
      <w:r>
        <w:rPr>
          <w:rFonts w:hint="eastAsia" w:ascii="宋体" w:hAnsi="宋体"/>
          <w:bCs/>
          <w:sz w:val="24"/>
          <w:szCs w:val="24"/>
        </w:rPr>
        <w:t xml:space="preserve"> 易燃、易爆危险品存放地点严禁烟火，杜绝可能产生火花的一切不安全因素，并根据消防条例配备消防力量、消防设施以及通讯、报警等必要装置。</w:t>
      </w:r>
    </w:p>
    <w:p>
      <w:pPr>
        <w:spacing w:line="460" w:lineRule="exact"/>
        <w:ind w:firstLine="480"/>
        <w:jc w:val="center"/>
        <w:rPr>
          <w:rFonts w:ascii="宋体" w:hAnsi="宋体"/>
          <w:bCs/>
          <w:sz w:val="24"/>
          <w:szCs w:val="24"/>
        </w:rPr>
      </w:pPr>
    </w:p>
    <w:p>
      <w:pPr>
        <w:numPr>
          <w:ilvl w:val="0"/>
          <w:numId w:val="4"/>
        </w:numPr>
        <w:spacing w:line="460" w:lineRule="exact"/>
        <w:ind w:firstLine="480"/>
        <w:jc w:val="center"/>
        <w:rPr>
          <w:rFonts w:ascii="黑体" w:hAnsi="黑体" w:eastAsia="黑体" w:cs="黑体"/>
          <w:bCs/>
          <w:sz w:val="32"/>
          <w:szCs w:val="32"/>
        </w:rPr>
      </w:pPr>
      <w:r>
        <w:rPr>
          <w:rFonts w:hint="eastAsia" w:ascii="黑体" w:hAnsi="黑体" w:eastAsia="黑体" w:cs="黑体"/>
          <w:bCs/>
          <w:sz w:val="32"/>
          <w:szCs w:val="32"/>
        </w:rPr>
        <w:t xml:space="preserve"> 化学危险品的处理</w:t>
      </w:r>
    </w:p>
    <w:p>
      <w:pPr>
        <w:spacing w:line="460" w:lineRule="exact"/>
        <w:rPr>
          <w:rFonts w:ascii="宋体" w:hAnsi="宋体"/>
          <w:bCs/>
          <w:sz w:val="24"/>
          <w:szCs w:val="24"/>
        </w:rPr>
      </w:pPr>
    </w:p>
    <w:p>
      <w:pPr>
        <w:spacing w:line="460" w:lineRule="exact"/>
        <w:ind w:firstLine="472" w:firstLineChars="196"/>
        <w:rPr>
          <w:rFonts w:ascii="宋体" w:hAnsi="宋体"/>
          <w:bCs/>
          <w:sz w:val="24"/>
          <w:szCs w:val="24"/>
        </w:rPr>
      </w:pPr>
      <w:r>
        <w:rPr>
          <w:rFonts w:hint="eastAsia" w:ascii="宋体" w:hAnsi="宋体"/>
          <w:b/>
          <w:sz w:val="24"/>
          <w:szCs w:val="24"/>
        </w:rPr>
        <w:t>第二十四条</w:t>
      </w:r>
      <w:r>
        <w:rPr>
          <w:rFonts w:hint="eastAsia" w:ascii="宋体" w:hAnsi="宋体"/>
          <w:bCs/>
          <w:sz w:val="24"/>
          <w:szCs w:val="24"/>
        </w:rPr>
        <w:t xml:space="preserve"> 使用化学危险品的各部门必须按照《环境保护法》的规定，对废液进行分类集中，妥善处理，不得随意倾倒。</w:t>
      </w:r>
    </w:p>
    <w:p>
      <w:pPr>
        <w:spacing w:line="460" w:lineRule="exact"/>
        <w:ind w:firstLine="472" w:firstLineChars="196"/>
        <w:rPr>
          <w:rFonts w:ascii="宋体" w:hAnsi="宋体"/>
          <w:bCs/>
          <w:sz w:val="24"/>
          <w:szCs w:val="24"/>
        </w:rPr>
      </w:pPr>
      <w:r>
        <w:rPr>
          <w:rFonts w:hint="eastAsia" w:ascii="宋体" w:hAnsi="宋体"/>
          <w:b/>
          <w:sz w:val="24"/>
          <w:szCs w:val="24"/>
        </w:rPr>
        <w:t>第二十五条</w:t>
      </w:r>
      <w:r>
        <w:rPr>
          <w:rFonts w:hint="eastAsia" w:ascii="宋体" w:hAnsi="宋体"/>
          <w:bCs/>
          <w:sz w:val="24"/>
          <w:szCs w:val="24"/>
        </w:rPr>
        <w:t xml:space="preserve"> 对于过期及无标签的化学危险品，必须经公安部门鉴定后，经所在地公安和环保等部门同意方可进行处理。</w:t>
      </w:r>
    </w:p>
    <w:p>
      <w:pPr>
        <w:spacing w:line="460" w:lineRule="exact"/>
        <w:ind w:firstLine="472" w:firstLineChars="196"/>
        <w:rPr>
          <w:rFonts w:ascii="宋体" w:hAnsi="宋体"/>
          <w:bCs/>
          <w:sz w:val="24"/>
          <w:szCs w:val="24"/>
        </w:rPr>
      </w:pPr>
      <w:r>
        <w:rPr>
          <w:rFonts w:hint="eastAsia" w:ascii="宋体" w:hAnsi="宋体"/>
          <w:b/>
          <w:sz w:val="24"/>
          <w:szCs w:val="24"/>
        </w:rPr>
        <w:t>第二十六条</w:t>
      </w:r>
      <w:r>
        <w:rPr>
          <w:rFonts w:hint="eastAsia" w:ascii="宋体" w:hAnsi="宋体"/>
          <w:bCs/>
          <w:sz w:val="24"/>
          <w:szCs w:val="24"/>
        </w:rPr>
        <w:t xml:space="preserve"> 剧毒品处理，由各使用部门向保卫处和实验室与设备管理处提出书面申请，上报公安部门获准后委托公安部门进行处理。在处理前，仍由原使用部门原地妥善保管，不得任意毁弃。</w:t>
      </w:r>
    </w:p>
    <w:p>
      <w:pPr>
        <w:spacing w:line="460" w:lineRule="exact"/>
        <w:rPr>
          <w:rFonts w:ascii="宋体" w:hAnsi="宋体"/>
          <w:bCs/>
          <w:sz w:val="24"/>
          <w:szCs w:val="24"/>
        </w:rPr>
      </w:pPr>
    </w:p>
    <w:p>
      <w:pPr>
        <w:numPr>
          <w:ilvl w:val="0"/>
          <w:numId w:val="4"/>
        </w:numPr>
        <w:spacing w:line="460" w:lineRule="exact"/>
        <w:ind w:firstLine="480"/>
        <w:jc w:val="center"/>
        <w:rPr>
          <w:rFonts w:ascii="黑体" w:hAnsi="黑体" w:eastAsia="黑体" w:cs="黑体"/>
          <w:bCs/>
          <w:sz w:val="32"/>
          <w:szCs w:val="32"/>
        </w:rPr>
      </w:pPr>
      <w:r>
        <w:rPr>
          <w:rFonts w:hint="eastAsia" w:ascii="黑体" w:hAnsi="黑体" w:eastAsia="黑体" w:cs="黑体"/>
          <w:bCs/>
          <w:sz w:val="32"/>
          <w:szCs w:val="32"/>
        </w:rPr>
        <w:t xml:space="preserve"> 安全培训和安全员</w:t>
      </w:r>
    </w:p>
    <w:p>
      <w:pPr>
        <w:spacing w:line="480" w:lineRule="exact"/>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第二十七条</w:t>
      </w:r>
      <w:r>
        <w:rPr>
          <w:rFonts w:hint="eastAsia" w:ascii="宋体" w:hAnsi="宋体"/>
          <w:bCs/>
          <w:sz w:val="24"/>
          <w:szCs w:val="24"/>
        </w:rPr>
        <w:t xml:space="preserve"> 从事化学危险品管理和使用的人员应当接受安全技术培训，熟练掌握本岗位的操作方法，考核合格方可上岗。</w:t>
      </w:r>
    </w:p>
    <w:p>
      <w:pPr>
        <w:spacing w:line="480" w:lineRule="exact"/>
        <w:ind w:firstLine="472" w:firstLineChars="196"/>
        <w:rPr>
          <w:rFonts w:ascii="宋体" w:hAnsi="宋体"/>
          <w:bCs/>
          <w:sz w:val="24"/>
          <w:szCs w:val="24"/>
        </w:rPr>
      </w:pPr>
      <w:r>
        <w:rPr>
          <w:rFonts w:hint="eastAsia" w:ascii="宋体" w:hAnsi="宋体"/>
          <w:b/>
          <w:sz w:val="24"/>
          <w:szCs w:val="24"/>
        </w:rPr>
        <w:t>第二十八条</w:t>
      </w:r>
      <w:r>
        <w:rPr>
          <w:rFonts w:hint="eastAsia" w:ascii="宋体" w:hAnsi="宋体"/>
          <w:bCs/>
          <w:sz w:val="24"/>
          <w:szCs w:val="24"/>
        </w:rPr>
        <w:t xml:space="preserve"> 使用化学危险品的部门应配备专职或兼职的安全员。安全员应具有化学危险品的安全管理知识。</w:t>
      </w:r>
    </w:p>
    <w:p>
      <w:pPr>
        <w:spacing w:line="480" w:lineRule="exact"/>
        <w:rPr>
          <w:rFonts w:ascii="宋体" w:hAnsi="宋体"/>
          <w:bCs/>
          <w:sz w:val="24"/>
          <w:szCs w:val="24"/>
        </w:rPr>
      </w:pPr>
    </w:p>
    <w:p>
      <w:pPr>
        <w:numPr>
          <w:ilvl w:val="0"/>
          <w:numId w:val="4"/>
        </w:numPr>
        <w:spacing w:line="480" w:lineRule="exact"/>
        <w:ind w:firstLine="470"/>
        <w:jc w:val="center"/>
        <w:rPr>
          <w:rFonts w:ascii="黑体" w:hAnsi="黑体" w:eastAsia="黑体" w:cs="黑体"/>
          <w:bCs/>
          <w:sz w:val="32"/>
          <w:szCs w:val="32"/>
        </w:rPr>
      </w:pPr>
      <w:r>
        <w:rPr>
          <w:rFonts w:hint="eastAsia" w:ascii="黑体" w:hAnsi="黑体" w:eastAsia="黑体" w:cs="黑体"/>
          <w:bCs/>
          <w:sz w:val="32"/>
          <w:szCs w:val="32"/>
        </w:rPr>
        <w:t xml:space="preserve"> 奖惩</w:t>
      </w:r>
    </w:p>
    <w:p>
      <w:pPr>
        <w:spacing w:line="480" w:lineRule="exact"/>
        <w:ind w:left="470"/>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第二十九条</w:t>
      </w:r>
      <w:r>
        <w:rPr>
          <w:rFonts w:hint="eastAsia" w:ascii="宋体" w:hAnsi="宋体"/>
          <w:bCs/>
          <w:sz w:val="24"/>
          <w:szCs w:val="24"/>
        </w:rPr>
        <w:t xml:space="preserve"> 对于严格遵守本办法,并取得显著成绩者,各部门要给予表扬和奖励；对违反本办法造成事故的人员,视情节轻重给予行政处分,构成犯罪的由司法机关依法追究刑事责任。</w:t>
      </w:r>
    </w:p>
    <w:p>
      <w:pPr>
        <w:spacing w:line="480" w:lineRule="exact"/>
        <w:rPr>
          <w:rFonts w:ascii="宋体" w:hAnsi="宋体"/>
          <w:bCs/>
          <w:sz w:val="24"/>
          <w:szCs w:val="24"/>
        </w:rPr>
      </w:pPr>
    </w:p>
    <w:p>
      <w:pPr>
        <w:numPr>
          <w:ilvl w:val="0"/>
          <w:numId w:val="4"/>
        </w:numPr>
        <w:spacing w:line="480" w:lineRule="exact"/>
        <w:ind w:firstLine="470"/>
        <w:jc w:val="center"/>
        <w:rPr>
          <w:rFonts w:ascii="黑体" w:hAnsi="黑体" w:eastAsia="黑体" w:cs="黑体"/>
          <w:bCs/>
          <w:sz w:val="32"/>
          <w:szCs w:val="32"/>
        </w:rPr>
      </w:pPr>
      <w:r>
        <w:rPr>
          <w:rFonts w:hint="eastAsia" w:ascii="黑体" w:hAnsi="黑体" w:eastAsia="黑体" w:cs="黑体"/>
          <w:bCs/>
          <w:sz w:val="32"/>
          <w:szCs w:val="32"/>
        </w:rPr>
        <w:t xml:space="preserve">  附则</w:t>
      </w:r>
    </w:p>
    <w:p>
      <w:pPr>
        <w:spacing w:line="480" w:lineRule="exact"/>
        <w:ind w:left="470"/>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第三十条</w:t>
      </w:r>
      <w:r>
        <w:rPr>
          <w:rFonts w:hint="eastAsia" w:ascii="宋体" w:hAnsi="宋体"/>
          <w:bCs/>
          <w:sz w:val="24"/>
          <w:szCs w:val="24"/>
        </w:rPr>
        <w:t xml:space="preserve"> 本办法自颁布之日起执行，由实验室与设备管理处负责解释。</w:t>
      </w:r>
    </w:p>
    <w:p/>
    <w:p>
      <w:bookmarkStart w:id="47" w:name="_Toc22796"/>
      <w:bookmarkStart w:id="48" w:name="_Toc1496"/>
      <w:bookmarkStart w:id="49" w:name="_Toc17029"/>
      <w:bookmarkStart w:id="50" w:name="_Toc29126"/>
    </w:p>
    <w:p/>
    <w:p/>
    <w:p/>
    <w:p/>
    <w:p/>
    <w:p/>
    <w:p>
      <w:pPr>
        <w:widowControl/>
        <w:jc w:val="left"/>
      </w:pPr>
      <w:r>
        <w:br w:type="page"/>
      </w:r>
    </w:p>
    <w:bookmarkEnd w:id="47"/>
    <w:bookmarkEnd w:id="48"/>
    <w:bookmarkEnd w:id="49"/>
    <w:bookmarkEnd w:id="50"/>
    <w:p>
      <w:pPr>
        <w:pStyle w:val="2"/>
      </w:pPr>
      <w:bookmarkStart w:id="51" w:name="_Toc46402433"/>
      <w:r>
        <w:rPr>
          <w:rFonts w:hint="eastAsia"/>
        </w:rPr>
        <w:t>衢州学院实验室建设项目暂行管理办法</w:t>
      </w:r>
      <w:bookmarkEnd w:id="51"/>
    </w:p>
    <w:p>
      <w:pPr>
        <w:spacing w:line="560" w:lineRule="exact"/>
        <w:jc w:val="center"/>
        <w:rPr>
          <w:rFonts w:ascii="黑体" w:hAnsi="黑体" w:eastAsia="黑体" w:cs="黑体"/>
          <w:sz w:val="44"/>
          <w:szCs w:val="44"/>
        </w:rPr>
      </w:pPr>
    </w:p>
    <w:p>
      <w:pPr>
        <w:spacing w:line="480" w:lineRule="exact"/>
        <w:ind w:firstLine="480" w:firstLineChars="200"/>
        <w:rPr>
          <w:rFonts w:ascii="宋体" w:hAnsi="宋体"/>
          <w:sz w:val="24"/>
          <w:szCs w:val="24"/>
        </w:rPr>
      </w:pPr>
      <w:r>
        <w:rPr>
          <w:rFonts w:hint="eastAsia" w:ascii="宋体" w:hAnsi="宋体"/>
          <w:sz w:val="24"/>
          <w:szCs w:val="24"/>
        </w:rPr>
        <w:t>为进一步加强学校实验室建设，改善实验教学条件，规范实验室建设资金管理，有效发挥实验室建设项目的投资效益，进一步提高教学、实验人员从事实验室建设工作的积极性，结合学校实际情况，制定本办法。</w:t>
      </w:r>
    </w:p>
    <w:p>
      <w:pPr>
        <w:spacing w:line="480" w:lineRule="exact"/>
        <w:ind w:firstLine="480" w:firstLineChars="200"/>
        <w:rPr>
          <w:rFonts w:ascii="宋体" w:hAnsi="宋体"/>
          <w:sz w:val="24"/>
          <w:szCs w:val="24"/>
        </w:rPr>
      </w:pPr>
    </w:p>
    <w:p>
      <w:pPr>
        <w:pStyle w:val="23"/>
        <w:numPr>
          <w:ilvl w:val="0"/>
          <w:numId w:val="5"/>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项目资金来源</w:t>
      </w:r>
    </w:p>
    <w:p>
      <w:pPr>
        <w:pStyle w:val="23"/>
        <w:spacing w:line="480" w:lineRule="exact"/>
        <w:ind w:firstLine="0" w:firstLineChars="0"/>
        <w:rPr>
          <w:rFonts w:ascii="宋体" w:hAnsi="宋体" w:cs="宋体"/>
          <w:sz w:val="24"/>
          <w:szCs w:val="24"/>
        </w:rPr>
      </w:pPr>
    </w:p>
    <w:p>
      <w:pPr>
        <w:numPr>
          <w:ilvl w:val="0"/>
          <w:numId w:val="6"/>
        </w:numPr>
        <w:spacing w:line="480" w:lineRule="exact"/>
        <w:ind w:firstLine="480" w:firstLineChars="200"/>
        <w:rPr>
          <w:rFonts w:ascii="宋体" w:hAnsi="宋体"/>
          <w:sz w:val="24"/>
          <w:szCs w:val="24"/>
        </w:rPr>
      </w:pPr>
      <w:r>
        <w:rPr>
          <w:rFonts w:hint="eastAsia" w:ascii="宋体" w:hAnsi="宋体"/>
          <w:sz w:val="24"/>
          <w:szCs w:val="24"/>
        </w:rPr>
        <w:t>实验室建设项目资金来源主要包括学校实验室建设专项资金，国家、省、市实验室建设专项资金和其他渠道来源的资金。</w:t>
      </w:r>
    </w:p>
    <w:p>
      <w:pPr>
        <w:spacing w:line="480" w:lineRule="exact"/>
        <w:ind w:left="560" w:leftChars="200"/>
        <w:rPr>
          <w:rFonts w:ascii="宋体" w:hAnsi="宋体"/>
          <w:sz w:val="24"/>
          <w:szCs w:val="24"/>
        </w:rPr>
      </w:pPr>
    </w:p>
    <w:p>
      <w:pPr>
        <w:pStyle w:val="23"/>
        <w:numPr>
          <w:ilvl w:val="0"/>
          <w:numId w:val="7"/>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项目立项范围</w:t>
      </w:r>
    </w:p>
    <w:p>
      <w:pPr>
        <w:pStyle w:val="23"/>
        <w:spacing w:line="480" w:lineRule="exact"/>
        <w:ind w:firstLine="0" w:firstLineChars="0"/>
        <w:rPr>
          <w:rFonts w:ascii="宋体" w:hAnsi="宋体" w:cs="宋体"/>
          <w:sz w:val="24"/>
          <w:szCs w:val="24"/>
        </w:rPr>
      </w:pPr>
    </w:p>
    <w:p>
      <w:pPr>
        <w:spacing w:line="480" w:lineRule="exact"/>
        <w:ind w:firstLine="482" w:firstLineChars="200"/>
        <w:rPr>
          <w:rFonts w:ascii="宋体" w:hAnsi="宋体"/>
          <w:sz w:val="24"/>
          <w:szCs w:val="24"/>
        </w:rPr>
      </w:pPr>
      <w:r>
        <w:rPr>
          <w:rFonts w:hint="eastAsia" w:ascii="宋体" w:hAnsi="宋体"/>
          <w:b/>
          <w:sz w:val="24"/>
          <w:szCs w:val="24"/>
        </w:rPr>
        <w:t>第二条</w:t>
      </w:r>
      <w:r>
        <w:rPr>
          <w:rFonts w:hint="eastAsia" w:ascii="宋体" w:hAnsi="宋体"/>
          <w:sz w:val="24"/>
          <w:szCs w:val="24"/>
        </w:rPr>
        <w:t xml:space="preserve"> 实验室建设项目应以应用型本科院校示范建设为目标，以创新创业人才培养为导向，围绕学校学科和专业建设需要，分教学类、科研类和实训类立项建设。</w:t>
      </w:r>
    </w:p>
    <w:p>
      <w:pPr>
        <w:spacing w:line="480" w:lineRule="exact"/>
        <w:ind w:firstLine="482" w:firstLineChars="200"/>
        <w:rPr>
          <w:rFonts w:ascii="宋体" w:hAnsi="宋体"/>
          <w:sz w:val="24"/>
          <w:szCs w:val="24"/>
        </w:rPr>
      </w:pPr>
      <w:r>
        <w:rPr>
          <w:rFonts w:hint="eastAsia" w:ascii="宋体" w:hAnsi="宋体"/>
          <w:b/>
          <w:sz w:val="24"/>
          <w:szCs w:val="24"/>
        </w:rPr>
        <w:t>第三条</w:t>
      </w:r>
      <w:r>
        <w:rPr>
          <w:rFonts w:hint="eastAsia" w:ascii="宋体" w:hAnsi="宋体"/>
          <w:sz w:val="24"/>
          <w:szCs w:val="24"/>
        </w:rPr>
        <w:t xml:space="preserve"> 教学类实验室建设项目，主要包括为满足（改善）教学与专业建设条件需要新建、改建或更新的教学平台类实验室项目。</w:t>
      </w:r>
    </w:p>
    <w:p>
      <w:pPr>
        <w:spacing w:line="480" w:lineRule="exact"/>
        <w:ind w:firstLine="482" w:firstLineChars="200"/>
        <w:rPr>
          <w:rFonts w:ascii="宋体" w:hAnsi="宋体"/>
          <w:sz w:val="24"/>
          <w:szCs w:val="24"/>
        </w:rPr>
      </w:pPr>
      <w:r>
        <w:rPr>
          <w:rFonts w:hint="eastAsia" w:ascii="宋体" w:hAnsi="宋体"/>
          <w:b/>
          <w:sz w:val="24"/>
          <w:szCs w:val="24"/>
        </w:rPr>
        <w:t>第四条</w:t>
      </w:r>
      <w:r>
        <w:rPr>
          <w:rFonts w:hint="eastAsia" w:ascii="宋体" w:hAnsi="宋体"/>
          <w:sz w:val="24"/>
          <w:szCs w:val="24"/>
        </w:rPr>
        <w:t xml:space="preserve"> 科研类实验室建设项目，主要包括为满足（改善）学科与科研建设条件需要新建、改建或更新的科研平台类实验室项目。</w:t>
      </w:r>
    </w:p>
    <w:p>
      <w:pPr>
        <w:spacing w:line="480" w:lineRule="exact"/>
        <w:ind w:firstLine="482" w:firstLineChars="200"/>
        <w:rPr>
          <w:rFonts w:ascii="宋体" w:hAnsi="宋体"/>
          <w:color w:val="000000"/>
          <w:sz w:val="24"/>
          <w:szCs w:val="24"/>
        </w:rPr>
      </w:pPr>
      <w:r>
        <w:rPr>
          <w:rFonts w:hint="eastAsia" w:ascii="宋体" w:hAnsi="宋体"/>
          <w:b/>
          <w:color w:val="000000"/>
          <w:sz w:val="24"/>
          <w:szCs w:val="24"/>
        </w:rPr>
        <w:t>第五条</w:t>
      </w:r>
      <w:r>
        <w:rPr>
          <w:rFonts w:hint="eastAsia" w:ascii="宋体" w:hAnsi="宋体"/>
          <w:color w:val="000000"/>
          <w:sz w:val="24"/>
          <w:szCs w:val="24"/>
        </w:rPr>
        <w:t xml:space="preserve"> 实训类实验室建设项目，主要包括为满足（改善）实践与实训条件需要新建、改建或更新的实践创新平台、校企校地协同平台、产教融合平台及公共服务平台等实践实训基地类实验室项目。</w:t>
      </w:r>
    </w:p>
    <w:p>
      <w:pPr>
        <w:spacing w:line="480" w:lineRule="exact"/>
        <w:ind w:firstLine="480" w:firstLineChars="200"/>
        <w:rPr>
          <w:rFonts w:ascii="宋体" w:hAnsi="宋体"/>
          <w:color w:val="000000"/>
          <w:sz w:val="24"/>
          <w:szCs w:val="24"/>
        </w:rPr>
      </w:pPr>
    </w:p>
    <w:p>
      <w:pPr>
        <w:pStyle w:val="23"/>
        <w:numPr>
          <w:ilvl w:val="0"/>
          <w:numId w:val="7"/>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项目立项原则</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第六条</w:t>
      </w:r>
      <w:r>
        <w:rPr>
          <w:rFonts w:hint="eastAsia" w:ascii="宋体" w:hAnsi="宋体"/>
          <w:sz w:val="24"/>
          <w:szCs w:val="24"/>
        </w:rPr>
        <w:t xml:space="preserve"> 实验室建设项目立项必须符合学校总体发展规划及学科、专业的发展方向，有明确的建设目标和建设内容。同时兼顾学校财力、物力的可能性，做到需要</w:t>
      </w:r>
    </w:p>
    <w:p>
      <w:pPr>
        <w:widowControl/>
        <w:adjustRightInd w:val="0"/>
        <w:snapToGrid w:val="0"/>
        <w:spacing w:line="480" w:lineRule="exact"/>
        <w:ind w:firstLine="480" w:firstLineChars="200"/>
        <w:rPr>
          <w:rFonts w:ascii="宋体" w:hAnsi="宋体"/>
          <w:sz w:val="24"/>
          <w:szCs w:val="24"/>
        </w:rPr>
      </w:pPr>
    </w:p>
    <w:p>
      <w:pPr>
        <w:widowControl/>
        <w:adjustRightInd w:val="0"/>
        <w:snapToGrid w:val="0"/>
        <w:spacing w:line="480" w:lineRule="exact"/>
        <w:jc w:val="left"/>
        <w:rPr>
          <w:rFonts w:ascii="宋体" w:hAnsi="宋体"/>
          <w:sz w:val="24"/>
          <w:szCs w:val="24"/>
        </w:rPr>
      </w:pPr>
      <w:r>
        <w:rPr>
          <w:rFonts w:hint="eastAsia" w:ascii="宋体" w:hAnsi="宋体"/>
          <w:sz w:val="24"/>
          <w:szCs w:val="24"/>
        </w:rPr>
        <w:t>与可能相结合，投资与效益相结合，综合平衡，协调发展。</w:t>
      </w:r>
    </w:p>
    <w:p>
      <w:pPr>
        <w:spacing w:line="480" w:lineRule="exact"/>
        <w:rPr>
          <w:rFonts w:ascii="宋体" w:hAnsi="宋体"/>
          <w:sz w:val="24"/>
          <w:szCs w:val="24"/>
        </w:rPr>
      </w:pPr>
      <w:r>
        <w:rPr>
          <w:rFonts w:hint="eastAsia" w:ascii="宋体" w:hAnsi="宋体"/>
          <w:sz w:val="24"/>
          <w:szCs w:val="24"/>
        </w:rPr>
        <w:t xml:space="preserve">    </w:t>
      </w:r>
      <w:r>
        <w:rPr>
          <w:rFonts w:hint="eastAsia" w:ascii="宋体" w:hAnsi="宋体"/>
          <w:b/>
          <w:sz w:val="24"/>
          <w:szCs w:val="24"/>
        </w:rPr>
        <w:t>第七条</w:t>
      </w:r>
      <w:r>
        <w:rPr>
          <w:rFonts w:hint="eastAsia" w:ascii="宋体" w:hAnsi="宋体"/>
          <w:sz w:val="24"/>
          <w:szCs w:val="24"/>
        </w:rPr>
        <w:t xml:space="preserve"> 学校实验室建设经费投入要从全局出发，区分轻重缓急，统筹兼顾，合理安排，保证重点。各学院（中心）在确立申报项目时，应把共享度高、受益面广、教学急需、必须投入的项目作为建设重点，优先申报。</w:t>
      </w:r>
    </w:p>
    <w:p>
      <w:pPr>
        <w:spacing w:line="480" w:lineRule="exact"/>
        <w:ind w:firstLine="482" w:firstLineChars="200"/>
        <w:rPr>
          <w:rFonts w:ascii="宋体" w:hAnsi="宋体"/>
          <w:sz w:val="24"/>
          <w:szCs w:val="24"/>
        </w:rPr>
      </w:pPr>
      <w:r>
        <w:rPr>
          <w:rFonts w:hint="eastAsia" w:ascii="宋体" w:hAnsi="宋体"/>
          <w:b/>
          <w:sz w:val="24"/>
          <w:szCs w:val="24"/>
        </w:rPr>
        <w:t>第八条</w:t>
      </w:r>
      <w:r>
        <w:rPr>
          <w:rFonts w:hint="eastAsia" w:ascii="宋体" w:hAnsi="宋体"/>
          <w:sz w:val="24"/>
          <w:szCs w:val="24"/>
        </w:rPr>
        <w:t xml:space="preserve"> 立项要坚持从实际情况出发，实事求是。要综合考虑建设的技术条件、环境条件和建设效益，避免盲目购置仪器设备、重复添置和占有资金，影响学校资金的良性运作。</w:t>
      </w:r>
    </w:p>
    <w:p>
      <w:pPr>
        <w:spacing w:line="480" w:lineRule="exact"/>
        <w:ind w:firstLine="482" w:firstLineChars="200"/>
        <w:rPr>
          <w:rFonts w:ascii="宋体" w:hAnsi="宋体"/>
          <w:sz w:val="24"/>
          <w:szCs w:val="24"/>
        </w:rPr>
      </w:pPr>
      <w:r>
        <w:rPr>
          <w:rFonts w:hint="eastAsia" w:ascii="宋体" w:hAnsi="宋体"/>
          <w:b/>
          <w:sz w:val="24"/>
          <w:szCs w:val="24"/>
        </w:rPr>
        <w:t>第九条</w:t>
      </w:r>
      <w:r>
        <w:rPr>
          <w:rFonts w:hint="eastAsia" w:ascii="宋体" w:hAnsi="宋体"/>
          <w:sz w:val="24"/>
          <w:szCs w:val="24"/>
        </w:rPr>
        <w:t xml:space="preserve"> 建设经费</w:t>
      </w:r>
      <w:r>
        <w:rPr>
          <w:rFonts w:hint="eastAsia" w:ascii="宋体" w:hAnsi="宋体"/>
          <w:color w:val="000000"/>
          <w:sz w:val="24"/>
          <w:szCs w:val="24"/>
        </w:rPr>
        <w:t>投入在10万元及以上的实验室建设项目，或列入校级及以上的重点实验室包括实</w:t>
      </w:r>
      <w:r>
        <w:rPr>
          <w:rFonts w:hint="eastAsia" w:ascii="宋体" w:hAnsi="宋体"/>
          <w:sz w:val="24"/>
          <w:szCs w:val="24"/>
        </w:rPr>
        <w:t>验教学示范中心、虚拟仿真实验教学中心等在内的建设项目，方可予以申报立项。</w:t>
      </w:r>
    </w:p>
    <w:p>
      <w:pPr>
        <w:spacing w:line="480" w:lineRule="exact"/>
        <w:ind w:firstLine="482" w:firstLineChars="200"/>
        <w:rPr>
          <w:rFonts w:ascii="宋体" w:hAnsi="宋体"/>
          <w:sz w:val="24"/>
          <w:szCs w:val="24"/>
        </w:rPr>
      </w:pPr>
      <w:r>
        <w:rPr>
          <w:rFonts w:hint="eastAsia" w:ascii="宋体" w:hAnsi="宋体"/>
          <w:b/>
          <w:sz w:val="24"/>
          <w:szCs w:val="24"/>
        </w:rPr>
        <w:t>第十条</w:t>
      </w:r>
      <w:r>
        <w:rPr>
          <w:rFonts w:hint="eastAsia" w:ascii="宋体" w:hAnsi="宋体"/>
          <w:sz w:val="24"/>
          <w:szCs w:val="24"/>
        </w:rPr>
        <w:t xml:space="preserve"> 申购大型精密仪器设备（单价≥10万元）必须组织专家进行可行性论证并提交论证报告（附件1）。对于专业发展前景不明确、使用方向单一的仪器设备要暂缓申报。</w:t>
      </w:r>
    </w:p>
    <w:p>
      <w:pPr>
        <w:spacing w:line="480" w:lineRule="exact"/>
        <w:rPr>
          <w:rFonts w:ascii="宋体" w:hAnsi="宋体"/>
          <w:sz w:val="24"/>
          <w:szCs w:val="24"/>
        </w:rPr>
      </w:pPr>
    </w:p>
    <w:p>
      <w:pPr>
        <w:numPr>
          <w:ilvl w:val="0"/>
          <w:numId w:val="7"/>
        </w:numPr>
        <w:spacing w:line="480" w:lineRule="exact"/>
        <w:jc w:val="center"/>
        <w:rPr>
          <w:rFonts w:ascii="黑体" w:hAnsi="黑体" w:eastAsia="黑体" w:cs="黑体"/>
          <w:sz w:val="32"/>
          <w:szCs w:val="32"/>
        </w:rPr>
      </w:pPr>
      <w:r>
        <w:rPr>
          <w:rFonts w:hint="eastAsia" w:ascii="黑体" w:hAnsi="黑体" w:eastAsia="黑体" w:cs="黑体"/>
          <w:sz w:val="32"/>
          <w:szCs w:val="32"/>
        </w:rPr>
        <w:t>项目申报与评审</w:t>
      </w:r>
    </w:p>
    <w:p>
      <w:pPr>
        <w:spacing w:line="480" w:lineRule="exact"/>
        <w:rPr>
          <w:rFonts w:ascii="黑体" w:hAnsi="黑体" w:eastAsia="黑体" w:cs="黑体"/>
          <w:sz w:val="32"/>
          <w:szCs w:val="32"/>
        </w:rPr>
      </w:pP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第十一条</w:t>
      </w:r>
      <w:r>
        <w:rPr>
          <w:rFonts w:hint="eastAsia" w:ascii="宋体" w:hAnsi="宋体"/>
          <w:sz w:val="24"/>
          <w:szCs w:val="24"/>
        </w:rPr>
        <w:t xml:space="preserve"> 实验室建设项目每年下半年以学院（中心）为单位组织申报下一年度的学校或财政预算项目。</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第十二条</w:t>
      </w:r>
      <w:r>
        <w:rPr>
          <w:rFonts w:hint="eastAsia" w:ascii="宋体" w:hAnsi="宋体"/>
          <w:sz w:val="24"/>
          <w:szCs w:val="24"/>
        </w:rPr>
        <w:t xml:space="preserve"> 实验室建设项目申报单位必须按要求填写《衢州学院实验室建设项目立项申报书》（附件2），包括项目组成员、申报理由、可行性、建设目标、项目完成后能够开出的实验项目、承担的任务和所需的仪器设备详细资料、仪器设备安装场所、使用环境及各项辅助设备的具备程度等。申报书经本单位负责人签署具体意见后，连同电子文档送交实验室与设备管理处。</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第十三条</w:t>
      </w:r>
      <w:r>
        <w:rPr>
          <w:rFonts w:hint="eastAsia" w:ascii="宋体" w:hAnsi="宋体"/>
          <w:sz w:val="24"/>
          <w:szCs w:val="24"/>
        </w:rPr>
        <w:t xml:space="preserve"> 实验室与设备管理处会同教务处、科研处等相关部门，组织专家对各单位申报的实验室建设项目进行论证评审，提出立项意见。</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第十四条</w:t>
      </w:r>
      <w:r>
        <w:rPr>
          <w:rFonts w:hint="eastAsia" w:ascii="宋体" w:hAnsi="宋体"/>
          <w:sz w:val="24"/>
          <w:szCs w:val="24"/>
        </w:rPr>
        <w:t xml:space="preserve"> 根据论证评审意见，实验室与设备管理处提出拟立项的项目报分管校领导，由校长办公会议审定。经校长办公会议审定后，由实验室与设备管理处发文公布。</w:t>
      </w:r>
    </w:p>
    <w:p>
      <w:pPr>
        <w:widowControl/>
        <w:adjustRightInd w:val="0"/>
        <w:snapToGrid w:val="0"/>
        <w:spacing w:line="480" w:lineRule="exact"/>
        <w:ind w:firstLine="480" w:firstLineChars="200"/>
        <w:rPr>
          <w:rFonts w:ascii="宋体" w:hAnsi="宋体"/>
          <w:sz w:val="24"/>
          <w:szCs w:val="24"/>
        </w:rPr>
      </w:pPr>
    </w:p>
    <w:p>
      <w:pPr>
        <w:pStyle w:val="23"/>
        <w:numPr>
          <w:ilvl w:val="0"/>
          <w:numId w:val="7"/>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项目实施与管理</w:t>
      </w:r>
    </w:p>
    <w:p>
      <w:pPr>
        <w:pStyle w:val="23"/>
        <w:spacing w:line="480" w:lineRule="exact"/>
        <w:ind w:firstLine="0" w:firstLineChars="0"/>
        <w:rPr>
          <w:rFonts w:ascii="宋体" w:hAnsi="宋体" w:cs="宋体"/>
          <w:sz w:val="24"/>
          <w:szCs w:val="24"/>
        </w:rPr>
      </w:pP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第十五条</w:t>
      </w:r>
      <w:r>
        <w:rPr>
          <w:rFonts w:hint="eastAsia" w:ascii="宋体" w:hAnsi="宋体"/>
          <w:sz w:val="24"/>
          <w:szCs w:val="24"/>
        </w:rPr>
        <w:t xml:space="preserve"> 实验室建设项目实行项目负责人制。无项目负责人或项目申报书不规范的项目不予立项。建设期内一般不得更换项目负责人，项目负责人发生变化时，应经所在单位、实验室与设备管理处批准备案。若因更换项目负责人造成项目不能按期完成或造成项目重大损失，将追究相关责任人的责任。</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第十六条</w:t>
      </w:r>
      <w:r>
        <w:rPr>
          <w:rFonts w:hint="eastAsia" w:ascii="宋体" w:hAnsi="宋体"/>
          <w:sz w:val="24"/>
          <w:szCs w:val="24"/>
        </w:rPr>
        <w:t xml:space="preserve"> 经批准立项的实验室建设项目，各项目负责人要根据专家论证意见及批准的建设经费等，制定包括项目分阶段建设进度计划以及仪器设备购置计划在内的实施计划，报实验室与设备管理处备案。</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 xml:space="preserve">第十七条 </w:t>
      </w:r>
      <w:r>
        <w:rPr>
          <w:rFonts w:hint="eastAsia" w:ascii="宋体" w:hAnsi="宋体"/>
          <w:sz w:val="24"/>
          <w:szCs w:val="24"/>
        </w:rPr>
        <w:t>加强项目建设过程控制与管理，确保项目按计划完成。项目所在单位为项目的具体管理者，应组织相关人员对项目建设情况进行督促检查，掌握项目的建设进度与质量，项目负责人应经常向所在单位汇报项目建设情况。</w:t>
      </w:r>
    </w:p>
    <w:p>
      <w:pPr>
        <w:widowControl/>
        <w:adjustRightInd w:val="0"/>
        <w:snapToGrid w:val="0"/>
        <w:spacing w:line="480" w:lineRule="exact"/>
        <w:ind w:firstLine="482" w:firstLineChars="200"/>
        <w:rPr>
          <w:rFonts w:ascii="宋体" w:hAnsi="宋体"/>
          <w:strike/>
          <w:sz w:val="24"/>
          <w:szCs w:val="24"/>
        </w:rPr>
      </w:pPr>
      <w:r>
        <w:rPr>
          <w:rFonts w:hint="eastAsia" w:ascii="宋体" w:hAnsi="宋体"/>
          <w:b/>
          <w:sz w:val="24"/>
          <w:szCs w:val="24"/>
        </w:rPr>
        <w:t>第十八条</w:t>
      </w:r>
      <w:r>
        <w:rPr>
          <w:rFonts w:hint="eastAsia" w:ascii="宋体" w:hAnsi="宋体"/>
          <w:sz w:val="24"/>
          <w:szCs w:val="24"/>
        </w:rPr>
        <w:t xml:space="preserve"> 项目建设周期原则上不超过一年，上级专项项目有明确规定建设期限的从其外。项目因某种原因中途停止实施或需延期完成的，应及时提交书面报告，报实验室与设备管理处审批，并做好相关处理工作。</w:t>
      </w:r>
    </w:p>
    <w:p>
      <w:pPr>
        <w:widowControl/>
        <w:adjustRightInd w:val="0"/>
        <w:snapToGrid w:val="0"/>
        <w:spacing w:line="480" w:lineRule="exact"/>
        <w:ind w:firstLine="482" w:firstLineChars="200"/>
        <w:rPr>
          <w:rFonts w:ascii="宋体" w:hAnsi="宋体"/>
          <w:sz w:val="24"/>
          <w:szCs w:val="24"/>
        </w:rPr>
      </w:pPr>
      <w:r>
        <w:rPr>
          <w:rFonts w:hint="eastAsia" w:ascii="宋体" w:hAnsi="宋体"/>
          <w:b/>
          <w:sz w:val="24"/>
          <w:szCs w:val="24"/>
        </w:rPr>
        <w:t xml:space="preserve">第十九条 </w:t>
      </w:r>
      <w:r>
        <w:rPr>
          <w:rFonts w:hint="eastAsia" w:ascii="宋体" w:hAnsi="宋体"/>
          <w:sz w:val="24"/>
          <w:szCs w:val="24"/>
        </w:rPr>
        <w:t xml:space="preserve"> 项目一经获准立项下达，应严格按照立项内容执行，原则上不予调整。确有必要调整的，必须按以下规定履行审批程序（超预算的项目调整，应按学校相关规定，事先办理追加预算手续）：</w:t>
      </w:r>
    </w:p>
    <w:p>
      <w:pPr>
        <w:widowControl/>
        <w:adjustRightInd w:val="0"/>
        <w:snapToGrid w:val="0"/>
        <w:spacing w:line="480" w:lineRule="exact"/>
        <w:ind w:firstLine="480" w:firstLineChars="200"/>
        <w:rPr>
          <w:rFonts w:ascii="宋体" w:hAnsi="宋体"/>
          <w:sz w:val="24"/>
          <w:szCs w:val="24"/>
        </w:rPr>
      </w:pPr>
      <w:r>
        <w:rPr>
          <w:rFonts w:hint="eastAsia" w:ascii="宋体" w:hAnsi="宋体"/>
          <w:sz w:val="24"/>
          <w:szCs w:val="24"/>
        </w:rPr>
        <w:t>1.涉及预算经费5万元以下的项目内容调整，经实验室与设备管理处审核后，报分管校领导审批。</w:t>
      </w:r>
    </w:p>
    <w:p>
      <w:pPr>
        <w:widowControl/>
        <w:adjustRightInd w:val="0"/>
        <w:snapToGrid w:val="0"/>
        <w:spacing w:line="480" w:lineRule="exact"/>
        <w:ind w:firstLine="480" w:firstLineChars="200"/>
        <w:rPr>
          <w:rFonts w:ascii="宋体" w:hAnsi="宋体"/>
          <w:sz w:val="24"/>
          <w:szCs w:val="24"/>
        </w:rPr>
      </w:pPr>
      <w:r>
        <w:rPr>
          <w:rFonts w:hint="eastAsia" w:ascii="宋体" w:hAnsi="宋体"/>
          <w:sz w:val="24"/>
          <w:szCs w:val="24"/>
        </w:rPr>
        <w:t>2.涉及预算经费5万元及以上的项目内容调整，经实验室与设备管理处审核、分管校领导审批后，提交校长办公会通过。</w:t>
      </w:r>
    </w:p>
    <w:p>
      <w:pPr>
        <w:widowControl/>
        <w:adjustRightInd w:val="0"/>
        <w:snapToGrid w:val="0"/>
        <w:spacing w:line="480" w:lineRule="exact"/>
        <w:ind w:firstLine="480" w:firstLineChars="200"/>
        <w:rPr>
          <w:rFonts w:ascii="宋体" w:hAnsi="宋体"/>
          <w:sz w:val="24"/>
          <w:szCs w:val="24"/>
        </w:rPr>
      </w:pPr>
      <w:r>
        <w:rPr>
          <w:rFonts w:hint="eastAsia" w:ascii="宋体" w:hAnsi="宋体"/>
          <w:sz w:val="24"/>
          <w:szCs w:val="24"/>
        </w:rPr>
        <w:t xml:space="preserve">3.涉及经上级主管部门批准立项或使用财政专项经费的项目，按上述规定履行程序后，必须报项目立项主管部门批准或按其规定执行。 </w:t>
      </w:r>
    </w:p>
    <w:p>
      <w:pPr>
        <w:widowControl/>
        <w:adjustRightInd w:val="0"/>
        <w:snapToGrid w:val="0"/>
        <w:spacing w:line="480" w:lineRule="exact"/>
        <w:rPr>
          <w:rFonts w:ascii="宋体" w:hAnsi="宋体"/>
          <w:sz w:val="24"/>
          <w:szCs w:val="24"/>
        </w:rPr>
      </w:pPr>
    </w:p>
    <w:p>
      <w:pPr>
        <w:pStyle w:val="23"/>
        <w:numPr>
          <w:ilvl w:val="0"/>
          <w:numId w:val="7"/>
        </w:numPr>
        <w:spacing w:line="480" w:lineRule="exact"/>
        <w:ind w:firstLine="0" w:firstLineChars="0"/>
        <w:jc w:val="center"/>
        <w:rPr>
          <w:rFonts w:ascii="黑体" w:hAnsi="黑体" w:eastAsia="黑体" w:cs="黑体"/>
          <w:sz w:val="36"/>
          <w:szCs w:val="36"/>
        </w:rPr>
      </w:pPr>
      <w:r>
        <w:rPr>
          <w:rFonts w:hint="eastAsia" w:ascii="黑体" w:hAnsi="黑体" w:eastAsia="黑体" w:cs="黑体"/>
          <w:sz w:val="36"/>
          <w:szCs w:val="36"/>
        </w:rPr>
        <w:t>项目验收与评估</w:t>
      </w:r>
    </w:p>
    <w:p>
      <w:pPr>
        <w:pStyle w:val="23"/>
        <w:spacing w:line="480" w:lineRule="exact"/>
        <w:ind w:firstLine="0" w:firstLineChars="0"/>
        <w:rPr>
          <w:rFonts w:ascii="宋体" w:hAnsi="宋体" w:cs="宋体"/>
          <w:sz w:val="24"/>
          <w:szCs w:val="24"/>
        </w:rPr>
      </w:pP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第二十条</w:t>
      </w:r>
      <w:r>
        <w:rPr>
          <w:rFonts w:hint="eastAsia" w:ascii="宋体" w:hAnsi="宋体"/>
          <w:sz w:val="24"/>
          <w:szCs w:val="24"/>
        </w:rPr>
        <w:t xml:space="preserve"> 项目完成后，项目承担单位应组织相关人员及专家进行项目验收，并填写《衢州学院实验室建设项目验收报告书》（附件3）并附相关验收材料交实验室与设备管理处备案。省级及以上实验室建设专项资金项目的验收与绩效评价，由实验室与设备管理处组织。</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第二十一条</w:t>
      </w:r>
      <w:r>
        <w:rPr>
          <w:rFonts w:hint="eastAsia" w:ascii="宋体" w:hAnsi="宋体"/>
          <w:sz w:val="24"/>
          <w:szCs w:val="24"/>
        </w:rPr>
        <w:t xml:space="preserve"> 对没有通过项目验收的承担单位，次年不予立项新的建设项目。对建设项目效益不明显的承担单位，学校将减少或停止该单位次年的项目立项和经费投入。</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第二十二条</w:t>
      </w:r>
      <w:r>
        <w:rPr>
          <w:rFonts w:hint="eastAsia" w:ascii="宋体" w:hAnsi="宋体"/>
          <w:sz w:val="24"/>
          <w:szCs w:val="24"/>
        </w:rPr>
        <w:t xml:space="preserve"> 列入国家、省、市级实验室建设专项资金项目同时应接受上级有关部门的检查、考核、验收与评估，所在单位和项目负责人应及时做好接受检查评估的各项工作。      </w:t>
      </w:r>
    </w:p>
    <w:p>
      <w:pPr>
        <w:widowControl/>
        <w:shd w:val="clear" w:color="auto" w:fill="FFFFFF"/>
        <w:spacing w:line="480" w:lineRule="exact"/>
        <w:rPr>
          <w:rFonts w:ascii="宋体" w:hAnsi="宋体"/>
          <w:sz w:val="24"/>
          <w:szCs w:val="24"/>
        </w:rPr>
      </w:pPr>
      <w:r>
        <w:rPr>
          <w:rFonts w:hint="eastAsia" w:ascii="宋体" w:hAnsi="宋体"/>
          <w:sz w:val="24"/>
          <w:szCs w:val="24"/>
        </w:rPr>
        <w:t xml:space="preserve">        </w:t>
      </w:r>
    </w:p>
    <w:p>
      <w:pPr>
        <w:pStyle w:val="23"/>
        <w:numPr>
          <w:ilvl w:val="0"/>
          <w:numId w:val="7"/>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项目保障与激励</w:t>
      </w:r>
    </w:p>
    <w:p>
      <w:pPr>
        <w:pStyle w:val="23"/>
        <w:spacing w:line="480" w:lineRule="exact"/>
        <w:ind w:firstLine="0" w:firstLineChars="0"/>
        <w:rPr>
          <w:rFonts w:ascii="宋体" w:hAnsi="宋体" w:cs="宋体"/>
          <w:sz w:val="24"/>
          <w:szCs w:val="24"/>
        </w:rPr>
      </w:pP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第二十三条</w:t>
      </w:r>
      <w:r>
        <w:rPr>
          <w:rFonts w:hint="eastAsia" w:ascii="宋体" w:hAnsi="宋体"/>
          <w:sz w:val="24"/>
          <w:szCs w:val="24"/>
        </w:rPr>
        <w:t xml:space="preserve"> 为鼓励教学实验人员从事实验室建设与研究，凡列入国家、省、市、校级重点实验室（包括虚拟仿真实验教学中心、实验教学示范中心以及科技创新实验平台、实习实训基地等）以及中央、省财政专项资金资助的实验室建设项目，按以下标准给予资助项目启动经费。</w:t>
      </w:r>
    </w:p>
    <w:p>
      <w:pPr>
        <w:widowControl/>
        <w:shd w:val="clear" w:color="auto" w:fill="FFFFFF"/>
        <w:spacing w:line="480" w:lineRule="exact"/>
        <w:ind w:right="640" w:firstLine="480" w:firstLineChars="200"/>
        <w:jc w:val="right"/>
        <w:rPr>
          <w:rFonts w:ascii="宋体" w:hAnsi="宋体"/>
          <w:kern w:val="0"/>
          <w:sz w:val="24"/>
          <w:szCs w:val="24"/>
        </w:rPr>
      </w:pPr>
      <w:r>
        <w:rPr>
          <w:rFonts w:hint="eastAsia" w:ascii="宋体" w:hAnsi="宋体"/>
          <w:kern w:val="0"/>
          <w:sz w:val="24"/>
          <w:szCs w:val="24"/>
        </w:rPr>
        <w:t>单 位：元/项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57"/>
        <w:gridCol w:w="2063"/>
        <w:gridCol w:w="220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0" w:type="dxa"/>
            <w:vAlign w:val="center"/>
          </w:tcPr>
          <w:p>
            <w:pPr>
              <w:pStyle w:val="5"/>
              <w:spacing w:line="400" w:lineRule="exact"/>
              <w:jc w:val="center"/>
              <w:rPr>
                <w:rFonts w:hAnsi="宋体" w:cs="宋体"/>
                <w:sz w:val="24"/>
                <w:szCs w:val="24"/>
              </w:rPr>
            </w:pPr>
            <w:r>
              <w:rPr>
                <w:rFonts w:hint="eastAsia" w:hAnsi="宋体" w:cs="宋体"/>
                <w:sz w:val="24"/>
                <w:szCs w:val="24"/>
              </w:rPr>
              <w:t>项目类别</w:t>
            </w:r>
          </w:p>
        </w:tc>
        <w:tc>
          <w:tcPr>
            <w:tcW w:w="2257" w:type="dxa"/>
            <w:vAlign w:val="center"/>
          </w:tcPr>
          <w:p>
            <w:pPr>
              <w:pStyle w:val="5"/>
              <w:spacing w:line="400" w:lineRule="exact"/>
              <w:jc w:val="center"/>
              <w:rPr>
                <w:rFonts w:hAnsi="宋体" w:cs="宋体"/>
                <w:sz w:val="24"/>
                <w:szCs w:val="24"/>
              </w:rPr>
            </w:pPr>
            <w:r>
              <w:rPr>
                <w:rFonts w:hint="eastAsia" w:hAnsi="宋体" w:cs="宋体"/>
                <w:sz w:val="24"/>
                <w:szCs w:val="24"/>
              </w:rPr>
              <w:t>国家级重点实验室</w:t>
            </w:r>
          </w:p>
        </w:tc>
        <w:tc>
          <w:tcPr>
            <w:tcW w:w="2063" w:type="dxa"/>
            <w:vAlign w:val="center"/>
          </w:tcPr>
          <w:p>
            <w:pPr>
              <w:pStyle w:val="5"/>
              <w:spacing w:line="400" w:lineRule="exact"/>
              <w:jc w:val="center"/>
              <w:rPr>
                <w:rFonts w:hAnsi="宋体" w:cs="宋体"/>
                <w:sz w:val="24"/>
                <w:szCs w:val="24"/>
              </w:rPr>
            </w:pPr>
            <w:r>
              <w:rPr>
                <w:rFonts w:hint="eastAsia" w:hAnsi="宋体" w:cs="宋体"/>
                <w:sz w:val="24"/>
                <w:szCs w:val="24"/>
              </w:rPr>
              <w:t>省级重点实验室</w:t>
            </w:r>
          </w:p>
        </w:tc>
        <w:tc>
          <w:tcPr>
            <w:tcW w:w="2205" w:type="dxa"/>
            <w:vAlign w:val="center"/>
          </w:tcPr>
          <w:p>
            <w:pPr>
              <w:pStyle w:val="5"/>
              <w:spacing w:line="400" w:lineRule="exact"/>
              <w:jc w:val="center"/>
              <w:rPr>
                <w:rFonts w:hAnsi="宋体" w:cs="宋体"/>
                <w:sz w:val="24"/>
                <w:szCs w:val="24"/>
              </w:rPr>
            </w:pPr>
            <w:r>
              <w:rPr>
                <w:rFonts w:hint="eastAsia" w:hAnsi="宋体" w:cs="宋体"/>
                <w:sz w:val="24"/>
                <w:szCs w:val="24"/>
              </w:rPr>
              <w:t>中央、省财政实验室专项建设</w:t>
            </w:r>
          </w:p>
        </w:tc>
        <w:tc>
          <w:tcPr>
            <w:tcW w:w="1470"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市（校）级重点实验室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20" w:type="dxa"/>
            <w:vAlign w:val="center"/>
          </w:tcPr>
          <w:p>
            <w:pPr>
              <w:pStyle w:val="5"/>
              <w:spacing w:line="400" w:lineRule="exact"/>
              <w:jc w:val="center"/>
              <w:rPr>
                <w:rFonts w:hAnsi="宋体" w:cs="宋体"/>
                <w:color w:val="000000"/>
                <w:sz w:val="24"/>
                <w:szCs w:val="24"/>
              </w:rPr>
            </w:pPr>
            <w:r>
              <w:rPr>
                <w:rFonts w:hint="eastAsia" w:hAnsi="宋体" w:cs="宋体"/>
                <w:sz w:val="24"/>
                <w:szCs w:val="24"/>
              </w:rPr>
              <w:t>资助金额</w:t>
            </w:r>
          </w:p>
        </w:tc>
        <w:tc>
          <w:tcPr>
            <w:tcW w:w="2257"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20000</w:t>
            </w:r>
          </w:p>
        </w:tc>
        <w:tc>
          <w:tcPr>
            <w:tcW w:w="2063"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15000</w:t>
            </w:r>
          </w:p>
        </w:tc>
        <w:tc>
          <w:tcPr>
            <w:tcW w:w="2205"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10000</w:t>
            </w:r>
          </w:p>
        </w:tc>
        <w:tc>
          <w:tcPr>
            <w:tcW w:w="1470"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5000</w:t>
            </w:r>
          </w:p>
        </w:tc>
      </w:tr>
    </w:tbl>
    <w:p>
      <w:pPr>
        <w:widowControl/>
        <w:shd w:val="clear" w:color="auto" w:fill="FFFFFF"/>
        <w:spacing w:line="480" w:lineRule="exact"/>
        <w:ind w:firstLine="482" w:firstLineChars="200"/>
        <w:rPr>
          <w:rFonts w:ascii="宋体" w:hAnsi="宋体"/>
          <w:b/>
          <w:sz w:val="24"/>
          <w:szCs w:val="24"/>
        </w:rPr>
      </w:pP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第二十四条</w:t>
      </w:r>
      <w:r>
        <w:rPr>
          <w:rFonts w:hint="eastAsia" w:ascii="宋体" w:hAnsi="宋体"/>
          <w:sz w:val="24"/>
          <w:szCs w:val="24"/>
        </w:rPr>
        <w:t xml:space="preserve"> 经获准立项的且通过验收评估的实验室建设项目，以分值为单位按以下标准核定实验室建设工作量，并由项目负责人按承担完成工作任务情况分配到项目组成员。  </w:t>
      </w:r>
    </w:p>
    <w:p>
      <w:pPr>
        <w:widowControl/>
        <w:shd w:val="clear" w:color="auto" w:fill="FFFFFF"/>
        <w:spacing w:line="480" w:lineRule="exact"/>
        <w:ind w:firstLine="480" w:firstLineChars="200"/>
        <w:rPr>
          <w:rFonts w:ascii="宋体" w:hAnsi="宋体"/>
          <w:sz w:val="24"/>
          <w:szCs w:val="24"/>
        </w:rPr>
      </w:pPr>
    </w:p>
    <w:p>
      <w:pPr>
        <w:widowControl/>
        <w:shd w:val="clear" w:color="auto" w:fill="FFFFFF"/>
        <w:spacing w:line="480" w:lineRule="exact"/>
        <w:ind w:firstLine="6240" w:firstLineChars="2600"/>
        <w:rPr>
          <w:rFonts w:ascii="宋体" w:hAnsi="宋体"/>
          <w:kern w:val="0"/>
          <w:sz w:val="24"/>
          <w:szCs w:val="24"/>
        </w:rPr>
      </w:pPr>
      <w:r>
        <w:rPr>
          <w:rFonts w:hint="eastAsia" w:ascii="宋体" w:hAnsi="宋体"/>
          <w:kern w:val="0"/>
          <w:sz w:val="24"/>
          <w:szCs w:val="24"/>
        </w:rPr>
        <w:t>单位：分/项</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20"/>
        <w:gridCol w:w="1976"/>
        <w:gridCol w:w="211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20" w:type="dxa"/>
            <w:vAlign w:val="center"/>
          </w:tcPr>
          <w:p>
            <w:pPr>
              <w:pStyle w:val="5"/>
              <w:spacing w:line="400" w:lineRule="exact"/>
              <w:jc w:val="center"/>
              <w:rPr>
                <w:rFonts w:hAnsi="宋体" w:cs="宋体"/>
                <w:sz w:val="24"/>
                <w:szCs w:val="24"/>
              </w:rPr>
            </w:pPr>
            <w:r>
              <w:rPr>
                <w:rFonts w:hint="eastAsia" w:hAnsi="宋体" w:cs="宋体"/>
                <w:sz w:val="24"/>
                <w:szCs w:val="24"/>
              </w:rPr>
              <w:t>项目类别</w:t>
            </w:r>
          </w:p>
        </w:tc>
        <w:tc>
          <w:tcPr>
            <w:tcW w:w="2220" w:type="dxa"/>
            <w:vAlign w:val="center"/>
          </w:tcPr>
          <w:p>
            <w:pPr>
              <w:pStyle w:val="5"/>
              <w:spacing w:line="400" w:lineRule="exact"/>
              <w:jc w:val="center"/>
              <w:rPr>
                <w:rFonts w:hAnsi="宋体" w:cs="宋体"/>
                <w:sz w:val="24"/>
                <w:szCs w:val="24"/>
              </w:rPr>
            </w:pPr>
            <w:r>
              <w:rPr>
                <w:rFonts w:hint="eastAsia" w:hAnsi="宋体" w:cs="宋体"/>
                <w:sz w:val="24"/>
                <w:szCs w:val="24"/>
              </w:rPr>
              <w:t>国家级重点实验室</w:t>
            </w:r>
          </w:p>
        </w:tc>
        <w:tc>
          <w:tcPr>
            <w:tcW w:w="1976" w:type="dxa"/>
            <w:vAlign w:val="center"/>
          </w:tcPr>
          <w:p>
            <w:pPr>
              <w:pStyle w:val="5"/>
              <w:spacing w:line="400" w:lineRule="exact"/>
              <w:jc w:val="center"/>
              <w:rPr>
                <w:rFonts w:hAnsi="宋体" w:cs="宋体"/>
                <w:sz w:val="24"/>
                <w:szCs w:val="24"/>
              </w:rPr>
            </w:pPr>
            <w:r>
              <w:rPr>
                <w:rFonts w:hint="eastAsia" w:hAnsi="宋体" w:cs="宋体"/>
                <w:sz w:val="24"/>
                <w:szCs w:val="24"/>
              </w:rPr>
              <w:t>省级重点实验室</w:t>
            </w:r>
          </w:p>
        </w:tc>
        <w:tc>
          <w:tcPr>
            <w:tcW w:w="2119" w:type="dxa"/>
            <w:vAlign w:val="center"/>
          </w:tcPr>
          <w:p>
            <w:pPr>
              <w:pStyle w:val="5"/>
              <w:spacing w:line="400" w:lineRule="exact"/>
              <w:jc w:val="center"/>
              <w:rPr>
                <w:rFonts w:hAnsi="宋体" w:cs="宋体"/>
                <w:sz w:val="24"/>
                <w:szCs w:val="24"/>
              </w:rPr>
            </w:pPr>
            <w:r>
              <w:rPr>
                <w:rFonts w:hint="eastAsia" w:hAnsi="宋体" w:cs="宋体"/>
                <w:sz w:val="24"/>
                <w:szCs w:val="24"/>
              </w:rPr>
              <w:t>中央、省财政实验室专项建设</w:t>
            </w:r>
          </w:p>
        </w:tc>
        <w:tc>
          <w:tcPr>
            <w:tcW w:w="1717"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市（校）级重点实验室（≥15万元）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20"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分值</w:t>
            </w:r>
          </w:p>
        </w:tc>
        <w:tc>
          <w:tcPr>
            <w:tcW w:w="2220"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2400</w:t>
            </w:r>
          </w:p>
        </w:tc>
        <w:tc>
          <w:tcPr>
            <w:tcW w:w="1976"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2000</w:t>
            </w:r>
          </w:p>
        </w:tc>
        <w:tc>
          <w:tcPr>
            <w:tcW w:w="2119"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500</w:t>
            </w:r>
          </w:p>
        </w:tc>
        <w:tc>
          <w:tcPr>
            <w:tcW w:w="1717" w:type="dxa"/>
            <w:vAlign w:val="center"/>
          </w:tcPr>
          <w:p>
            <w:pPr>
              <w:pStyle w:val="5"/>
              <w:spacing w:line="400" w:lineRule="exact"/>
              <w:jc w:val="center"/>
              <w:rPr>
                <w:rFonts w:hAnsi="宋体" w:cs="宋体"/>
                <w:color w:val="000000"/>
                <w:sz w:val="24"/>
                <w:szCs w:val="24"/>
              </w:rPr>
            </w:pPr>
            <w:r>
              <w:rPr>
                <w:rFonts w:hint="eastAsia" w:hAnsi="宋体" w:cs="宋体"/>
                <w:color w:val="000000"/>
                <w:sz w:val="24"/>
                <w:szCs w:val="24"/>
              </w:rPr>
              <w:t>150</w:t>
            </w:r>
          </w:p>
        </w:tc>
      </w:tr>
    </w:tbl>
    <w:p>
      <w:pPr>
        <w:widowControl/>
        <w:shd w:val="clear" w:color="auto" w:fill="FFFFFF"/>
        <w:spacing w:line="480" w:lineRule="exact"/>
        <w:ind w:firstLine="361" w:firstLineChars="150"/>
        <w:rPr>
          <w:rFonts w:ascii="宋体" w:hAnsi="宋体"/>
          <w:sz w:val="24"/>
          <w:szCs w:val="24"/>
        </w:rPr>
      </w:pPr>
      <w:r>
        <w:rPr>
          <w:rFonts w:hint="eastAsia" w:ascii="宋体" w:hAnsi="宋体"/>
          <w:b/>
          <w:sz w:val="24"/>
          <w:szCs w:val="24"/>
        </w:rPr>
        <w:t xml:space="preserve">第二十五条 </w:t>
      </w:r>
      <w:r>
        <w:rPr>
          <w:rFonts w:hint="eastAsia" w:ascii="宋体" w:hAnsi="宋体"/>
          <w:sz w:val="24"/>
          <w:szCs w:val="24"/>
        </w:rPr>
        <w:t>实验室建设工作量等量折算成教研（科研）工作量，其结果可作为专业技术岗位有关教研（科研）考核指标进行应用。</w:t>
      </w:r>
    </w:p>
    <w:p>
      <w:pPr>
        <w:widowControl/>
        <w:shd w:val="clear" w:color="auto" w:fill="FFFFFF"/>
        <w:spacing w:line="480" w:lineRule="exact"/>
        <w:rPr>
          <w:rFonts w:ascii="宋体" w:hAnsi="宋体"/>
          <w:sz w:val="24"/>
          <w:szCs w:val="24"/>
        </w:rPr>
      </w:pPr>
    </w:p>
    <w:p>
      <w:pPr>
        <w:pStyle w:val="23"/>
        <w:numPr>
          <w:ilvl w:val="0"/>
          <w:numId w:val="7"/>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经费的管理与使用</w:t>
      </w:r>
    </w:p>
    <w:p>
      <w:pPr>
        <w:pStyle w:val="23"/>
        <w:spacing w:line="480" w:lineRule="exact"/>
        <w:ind w:firstLine="0" w:firstLineChars="0"/>
        <w:rPr>
          <w:rFonts w:ascii="宋体" w:hAnsi="宋体" w:cs="宋体"/>
          <w:sz w:val="24"/>
          <w:szCs w:val="24"/>
        </w:rPr>
      </w:pP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 xml:space="preserve">第二十六条 </w:t>
      </w:r>
      <w:r>
        <w:rPr>
          <w:rFonts w:hint="eastAsia" w:ascii="宋体" w:hAnsi="宋体"/>
          <w:sz w:val="24"/>
          <w:szCs w:val="24"/>
        </w:rPr>
        <w:t>项目经费主要包括项目建设经费和项目启动经费，并依据经费来源渠道实行AB卡建卡制管理模式。其中：A卡为财政专项资金资助经费卡，B卡为学校专项资金资助或配套经费卡；项目建设经费A卡和项目启动经费卡由项目负责人保管，项目建设经费B卡原则上由职能部门统一保管。</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第二十七条</w:t>
      </w:r>
      <w:r>
        <w:rPr>
          <w:rFonts w:hint="eastAsia" w:ascii="宋体" w:hAnsi="宋体"/>
          <w:sz w:val="24"/>
          <w:szCs w:val="24"/>
        </w:rPr>
        <w:t xml:space="preserve"> 项目经费的管理和使用，必须符合国家有关财政、财务制度和学校财务等规定。项目启动费支出实行项目负责人审批制，参照《衢州学院科研经费管理办法》（衢院科〔2014〕3号）执行；项目建设经费支出实行职能部门负责制，按照《衢州学院经费支出审批暂行规定》（衢院计〔2016〕4号）执行。国家、省、市等上级财政专项资助项目经费的管理与使用，有明确规定的必须从其规定</w:t>
      </w:r>
      <w:r>
        <w:rPr>
          <w:rFonts w:hint="eastAsia" w:ascii="宋体" w:hAnsi="宋体"/>
          <w:color w:val="000000"/>
          <w:sz w:val="24"/>
          <w:szCs w:val="24"/>
        </w:rPr>
        <w:t>。</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第二十八条</w:t>
      </w:r>
      <w:r>
        <w:rPr>
          <w:rFonts w:hint="eastAsia" w:ascii="宋体" w:hAnsi="宋体"/>
          <w:sz w:val="24"/>
          <w:szCs w:val="24"/>
        </w:rPr>
        <w:t xml:space="preserve"> 项目建设经费限于列入立项范围内的仪器设备等固定资产的添置和实验室环境改造费等硬件建设支出，其中实验室环境改造费一般不超过项目总经费的</w:t>
      </w:r>
      <w:r>
        <w:rPr>
          <w:rFonts w:hint="eastAsia" w:ascii="宋体" w:hAnsi="宋体"/>
          <w:color w:val="000000"/>
          <w:sz w:val="24"/>
          <w:szCs w:val="24"/>
        </w:rPr>
        <w:t>5%。</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第二十九条</w:t>
      </w:r>
      <w:r>
        <w:rPr>
          <w:rFonts w:hint="eastAsia" w:ascii="宋体" w:hAnsi="宋体"/>
          <w:sz w:val="24"/>
          <w:szCs w:val="24"/>
        </w:rPr>
        <w:t xml:space="preserve"> 项目启动经费主要用于项目建设前期的研究与开展，可按以下范围规范使用：</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1.差旅费：</w:t>
      </w:r>
      <w:r>
        <w:rPr>
          <w:rFonts w:hint="eastAsia" w:ascii="宋体" w:hAnsi="宋体"/>
          <w:sz w:val="24"/>
          <w:szCs w:val="24"/>
        </w:rPr>
        <w:t>包括项目组成员为项目建设研究参加调研、学术交流等所发生的差旅费。差旅费开支范围和标准按学校差旅费管理规定执行。</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2.办公费：</w:t>
      </w:r>
      <w:r>
        <w:rPr>
          <w:rFonts w:hint="eastAsia" w:ascii="宋体" w:hAnsi="宋体"/>
          <w:sz w:val="24"/>
          <w:szCs w:val="24"/>
        </w:rPr>
        <w:t>包括日常办公费用以及文具、配件、耗材等支出的费用。</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3.资料、印刷、版面费：</w:t>
      </w:r>
      <w:r>
        <w:rPr>
          <w:rFonts w:hint="eastAsia" w:ascii="宋体" w:hAnsi="宋体"/>
          <w:sz w:val="24"/>
          <w:szCs w:val="24"/>
        </w:rPr>
        <w:t>是指在进行项目研究建设所必要发生的书刊、资料、复印、印刷等费用和发表论文、出版教材的费用。</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4.专家咨询费：</w:t>
      </w:r>
      <w:r>
        <w:rPr>
          <w:rFonts w:hint="eastAsia" w:ascii="宋体" w:hAnsi="宋体"/>
          <w:sz w:val="24"/>
          <w:szCs w:val="24"/>
        </w:rPr>
        <w:t>是指项目建设研究过程中支付给校外专家有关项目咨询、鉴定、可行性论证等所发生的费用。专家咨询费标准参照学校科研经费管理办法执行。</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5.其他费用：</w:t>
      </w:r>
      <w:r>
        <w:rPr>
          <w:rFonts w:hint="eastAsia" w:ascii="宋体" w:hAnsi="宋体"/>
          <w:sz w:val="24"/>
          <w:szCs w:val="24"/>
        </w:rPr>
        <w:t>指与建设项目直接有关的其他支出。</w:t>
      </w:r>
    </w:p>
    <w:p>
      <w:pPr>
        <w:widowControl/>
        <w:spacing w:line="480" w:lineRule="exact"/>
        <w:ind w:firstLine="482" w:firstLineChars="200"/>
        <w:rPr>
          <w:rFonts w:ascii="宋体" w:hAnsi="宋体"/>
          <w:sz w:val="24"/>
          <w:szCs w:val="24"/>
        </w:rPr>
      </w:pPr>
      <w:r>
        <w:rPr>
          <w:rFonts w:hint="eastAsia" w:ascii="宋体" w:hAnsi="宋体"/>
          <w:b/>
          <w:sz w:val="24"/>
          <w:szCs w:val="24"/>
        </w:rPr>
        <w:t>第三十条</w:t>
      </w:r>
      <w:r>
        <w:rPr>
          <w:rFonts w:hint="eastAsia" w:ascii="宋体" w:hAnsi="宋体"/>
          <w:sz w:val="24"/>
          <w:szCs w:val="24"/>
        </w:rPr>
        <w:t xml:space="preserve"> 项目结余经费的管理。上级财政专项资金资助的结余经费主管部门有明确规定的，从其规定执行。没有明确规定或学校专项资金予以安排的结余经费按照《衢州学院关于进一步加强财务管理的实施意见》（衢院计〔2016〕2号）规定执行。</w:t>
      </w:r>
    </w:p>
    <w:p>
      <w:pPr>
        <w:widowControl/>
        <w:spacing w:line="480" w:lineRule="exact"/>
        <w:rPr>
          <w:rFonts w:ascii="宋体" w:hAnsi="宋体"/>
          <w:sz w:val="24"/>
          <w:szCs w:val="24"/>
        </w:rPr>
      </w:pPr>
    </w:p>
    <w:p>
      <w:pPr>
        <w:pStyle w:val="23"/>
        <w:numPr>
          <w:ilvl w:val="0"/>
          <w:numId w:val="7"/>
        </w:numPr>
        <w:spacing w:line="480" w:lineRule="exact"/>
        <w:ind w:firstLine="0" w:firstLineChars="0"/>
        <w:jc w:val="center"/>
        <w:rPr>
          <w:rFonts w:ascii="黑体" w:hAnsi="黑体" w:eastAsia="黑体" w:cs="黑体"/>
          <w:sz w:val="32"/>
          <w:szCs w:val="32"/>
        </w:rPr>
      </w:pPr>
      <w:r>
        <w:rPr>
          <w:rFonts w:hint="eastAsia" w:ascii="黑体" w:hAnsi="黑体" w:eastAsia="黑体" w:cs="黑体"/>
          <w:sz w:val="32"/>
          <w:szCs w:val="32"/>
        </w:rPr>
        <w:t>附则</w:t>
      </w:r>
    </w:p>
    <w:p>
      <w:pPr>
        <w:pStyle w:val="23"/>
        <w:spacing w:line="480" w:lineRule="exact"/>
        <w:ind w:firstLine="0" w:firstLineChars="0"/>
        <w:rPr>
          <w:rFonts w:ascii="宋体" w:hAnsi="宋体" w:cs="宋体"/>
          <w:sz w:val="24"/>
          <w:szCs w:val="24"/>
        </w:rPr>
      </w:pP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第三十一条</w:t>
      </w:r>
      <w:r>
        <w:rPr>
          <w:rFonts w:hint="eastAsia" w:ascii="宋体" w:hAnsi="宋体"/>
          <w:sz w:val="24"/>
          <w:szCs w:val="24"/>
        </w:rPr>
        <w:t xml:space="preserve"> 本办法不适用于非实验室建设性质的其他仪器设备</w:t>
      </w:r>
      <w:r>
        <w:rPr>
          <w:rFonts w:hint="eastAsia" w:ascii="宋体" w:hAnsi="宋体"/>
          <w:color w:val="000000"/>
          <w:kern w:val="0"/>
          <w:sz w:val="24"/>
          <w:szCs w:val="24"/>
        </w:rPr>
        <w:t>购置</w:t>
      </w:r>
      <w:r>
        <w:rPr>
          <w:rFonts w:hint="eastAsia" w:ascii="宋体" w:hAnsi="宋体"/>
          <w:sz w:val="24"/>
          <w:szCs w:val="24"/>
        </w:rPr>
        <w:t>类项目。</w:t>
      </w:r>
    </w:p>
    <w:p>
      <w:pPr>
        <w:widowControl/>
        <w:shd w:val="clear" w:color="auto" w:fill="FFFFFF"/>
        <w:spacing w:line="480" w:lineRule="exact"/>
        <w:ind w:firstLine="482" w:firstLineChars="200"/>
        <w:rPr>
          <w:rFonts w:ascii="宋体" w:hAnsi="宋体"/>
          <w:sz w:val="24"/>
          <w:szCs w:val="24"/>
        </w:rPr>
      </w:pPr>
      <w:r>
        <w:rPr>
          <w:rFonts w:hint="eastAsia" w:ascii="宋体" w:hAnsi="宋体"/>
          <w:b/>
          <w:sz w:val="24"/>
          <w:szCs w:val="24"/>
        </w:rPr>
        <w:t>第三十二条</w:t>
      </w:r>
      <w:r>
        <w:rPr>
          <w:rFonts w:hint="eastAsia" w:ascii="宋体" w:hAnsi="宋体"/>
          <w:sz w:val="24"/>
          <w:szCs w:val="24"/>
        </w:rPr>
        <w:t xml:space="preserve"> 本办法自公布之日起生效，由实验室与设备管理处负责解释。</w:t>
      </w:r>
    </w:p>
    <w:p>
      <w:pPr>
        <w:widowControl/>
        <w:shd w:val="clear" w:color="auto" w:fill="FFFFFF"/>
        <w:spacing w:line="480" w:lineRule="exact"/>
        <w:rPr>
          <w:rFonts w:ascii="宋体" w:hAnsi="宋体"/>
          <w:sz w:val="24"/>
          <w:szCs w:val="24"/>
        </w:rPr>
      </w:pPr>
      <w:r>
        <w:rPr>
          <w:rFonts w:hint="eastAsia" w:ascii="宋体" w:hAnsi="宋体"/>
          <w:sz w:val="24"/>
          <w:szCs w:val="24"/>
        </w:rPr>
        <w:t> </w:t>
      </w:r>
    </w:p>
    <w:p>
      <w:pPr>
        <w:widowControl/>
        <w:shd w:val="clear" w:color="auto" w:fill="FFFFFF"/>
        <w:spacing w:line="480" w:lineRule="exact"/>
        <w:rPr>
          <w:rFonts w:ascii="宋体" w:hAnsi="宋体"/>
          <w:sz w:val="24"/>
          <w:szCs w:val="24"/>
        </w:rPr>
      </w:pPr>
    </w:p>
    <w:p>
      <w:pPr>
        <w:widowControl/>
        <w:shd w:val="clear" w:color="auto" w:fill="FFFFFF"/>
        <w:spacing w:line="480" w:lineRule="exact"/>
        <w:rPr>
          <w:rFonts w:ascii="宋体" w:hAnsi="宋体"/>
          <w:sz w:val="24"/>
          <w:szCs w:val="24"/>
        </w:rPr>
      </w:pPr>
      <w:r>
        <w:rPr>
          <w:rFonts w:hint="eastAsia" w:ascii="宋体" w:hAnsi="宋体"/>
          <w:sz w:val="24"/>
          <w:szCs w:val="24"/>
        </w:rPr>
        <w:t>附件： 1.《衢州学院大型仪器设备购置可行性论证报告》</w:t>
      </w:r>
    </w:p>
    <w:p>
      <w:pPr>
        <w:adjustRightInd w:val="0"/>
        <w:snapToGrid w:val="0"/>
        <w:spacing w:line="480" w:lineRule="exact"/>
        <w:ind w:firstLine="840" w:firstLineChars="350"/>
        <w:rPr>
          <w:rFonts w:ascii="宋体" w:hAnsi="宋体"/>
          <w:bCs/>
          <w:sz w:val="24"/>
          <w:szCs w:val="24"/>
        </w:rPr>
      </w:pPr>
      <w:r>
        <w:rPr>
          <w:rFonts w:hint="eastAsia" w:ascii="宋体" w:hAnsi="宋体"/>
          <w:sz w:val="24"/>
          <w:szCs w:val="24"/>
        </w:rPr>
        <w:t>2.《衢州学院实验室建设立项项目申报书》</w:t>
      </w:r>
    </w:p>
    <w:p>
      <w:pPr>
        <w:adjustRightInd w:val="0"/>
        <w:snapToGrid w:val="0"/>
        <w:spacing w:line="480" w:lineRule="exact"/>
        <w:ind w:firstLine="840" w:firstLineChars="350"/>
        <w:rPr>
          <w:rFonts w:ascii="宋体" w:hAnsi="宋体"/>
          <w:bCs/>
          <w:sz w:val="24"/>
          <w:szCs w:val="24"/>
        </w:rPr>
      </w:pPr>
      <w:r>
        <w:rPr>
          <w:rFonts w:hint="eastAsia" w:ascii="宋体" w:hAnsi="宋体"/>
          <w:sz w:val="24"/>
          <w:szCs w:val="24"/>
        </w:rPr>
        <w:t>3.《衢州学院实验室建设项目验收报告书》</w:t>
      </w:r>
    </w:p>
    <w:p>
      <w:pPr>
        <w:spacing w:line="500" w:lineRule="exact"/>
        <w:rPr>
          <w:rFonts w:ascii="仿宋_GB2312" w:eastAsia="仿宋_GB2312"/>
          <w:sz w:val="32"/>
          <w:szCs w:val="32"/>
        </w:rPr>
      </w:pPr>
    </w:p>
    <w:p/>
    <w:p/>
    <w:p/>
    <w:p/>
    <w:p/>
    <w:p/>
    <w:p/>
    <w:p/>
    <w:p/>
    <w:p/>
    <w:p/>
    <w:p/>
    <w:p/>
    <w:p>
      <w:pPr>
        <w:widowControl/>
        <w:jc w:val="left"/>
      </w:pPr>
      <w:r>
        <w:br w:type="page"/>
      </w:r>
    </w:p>
    <w:p>
      <w:r>
        <w:drawing>
          <wp:anchor distT="0" distB="0" distL="114300" distR="114300" simplePos="0" relativeHeight="251661312" behindDoc="0" locked="0" layoutInCell="1" allowOverlap="1">
            <wp:simplePos x="0" y="0"/>
            <wp:positionH relativeFrom="column">
              <wp:posOffset>-104775</wp:posOffset>
            </wp:positionH>
            <wp:positionV relativeFrom="paragraph">
              <wp:posOffset>180975</wp:posOffset>
            </wp:positionV>
            <wp:extent cx="2457450" cy="714375"/>
            <wp:effectExtent l="0" t="0" r="0" b="952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57450" cy="714375"/>
                    </a:xfrm>
                    <a:prstGeom prst="rect">
                      <a:avLst/>
                    </a:prstGeom>
                    <a:noFill/>
                    <a:ln>
                      <a:noFill/>
                    </a:ln>
                  </pic:spPr>
                </pic:pic>
              </a:graphicData>
            </a:graphic>
          </wp:anchor>
        </w:drawing>
      </w:r>
    </w:p>
    <w:p>
      <w:pPr>
        <w:jc w:val="center"/>
        <w:rPr>
          <w:b/>
          <w:bCs/>
          <w:sz w:val="72"/>
        </w:rPr>
      </w:pPr>
      <w: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552450</wp:posOffset>
                </wp:positionV>
                <wp:extent cx="2428875" cy="0"/>
                <wp:effectExtent l="7620" t="13335" r="11430" b="5715"/>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pt;margin-top:43.5pt;height:0pt;width:191.25pt;z-index:251660288;mso-width-relative:page;mso-height-relative:page;" filled="f" stroked="t" coordsize="21600,21600" o:gfxdata="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JpW99gAAAAJAQAADwAAAAAA&#10;AAABACAAAAAiAAAAZHJzL2Rvd25yZXYueG1sUEsBAhQAFAAAAAgAh07iQI5I+fXaAQAAcgMAAA4A&#10;AAAAAAAAAQAgAAAAJwEAAGRycy9lMm9Eb2MueG1sUEsFBgAAAAAGAAYAWQEAAHMFAAAAAA==&#10;">
                <v:fill on="f" focussize="0,0"/>
                <v:stroke color="#000000" joinstyle="round"/>
                <v:imagedata o:title=""/>
                <o:lock v:ext="edit" aspectratio="f"/>
              </v:shape>
            </w:pict>
          </mc:Fallback>
        </mc:AlternateContent>
      </w:r>
    </w:p>
    <w:p>
      <w:pPr>
        <w:rPr>
          <w:rFonts w:ascii="方正小标宋简体" w:hAnsi="Arial Rounded MT Bold" w:eastAsia="方正小标宋简体"/>
          <w:sz w:val="32"/>
          <w:szCs w:val="32"/>
        </w:rPr>
      </w:pPr>
      <w:r>
        <mc:AlternateContent>
          <mc:Choice Requires="wps">
            <w:drawing>
              <wp:anchor distT="0" distB="0" distL="114300" distR="114300" simplePos="0" relativeHeight="251672576" behindDoc="0" locked="0" layoutInCell="1" allowOverlap="1">
                <wp:simplePos x="0" y="0"/>
                <wp:positionH relativeFrom="column">
                  <wp:posOffset>-106680</wp:posOffset>
                </wp:positionH>
                <wp:positionV relativeFrom="paragraph">
                  <wp:posOffset>38100</wp:posOffset>
                </wp:positionV>
                <wp:extent cx="2428875" cy="0"/>
                <wp:effectExtent l="0" t="0" r="9525" b="19050"/>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8.4pt;margin-top:3pt;height:0pt;width:191.25pt;z-index:251672576;mso-width-relative:page;mso-height-relative:page;" filled="f" stroked="t" coordsize="21600,21600" o:gfxdata="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gtnDVAAAABwEAAA8AAAAAAAAA&#10;AQAgAAAAIgAAAGRycy9kb3ducmV2LnhtbFBLAQIUABQAAAAIAIdO4kBYeY6J2wEAAHIDAAAOAAAA&#10;AAAAAAEAIAAAACQBAABkcnMvZTJvRG9jLnhtbFBLBQYAAAAABgAGAFkBAABxBQAAAAA=&#10;">
                <v:fill on="f" focussize="0,0"/>
                <v:stroke color="#000000" joinstyle="round"/>
                <v:imagedata o:title=""/>
                <o:lock v:ext="edit" aspectratio="f"/>
              </v:shape>
            </w:pict>
          </mc:Fallback>
        </mc:AlternateContent>
      </w:r>
      <w:r>
        <w:rPr>
          <w:rFonts w:hint="eastAsia" w:ascii="方正小标宋简体" w:hAnsi="Arial Rounded MT Bold" w:eastAsia="方正小标宋简体"/>
          <w:w w:val="98"/>
          <w:kern w:val="0"/>
          <w:sz w:val="32"/>
          <w:szCs w:val="32"/>
        </w:rPr>
        <w:t>QUZHOU</w:t>
      </w:r>
      <w:r>
        <w:rPr>
          <w:rFonts w:hint="eastAsia" w:ascii="方正小标宋简体" w:hAnsi="Arial Rounded MT Bold" w:eastAsia="方正小标宋简体"/>
          <w:w w:val="98"/>
          <w:kern w:val="0"/>
          <w:szCs w:val="21"/>
        </w:rPr>
        <w:t xml:space="preserve"> </w:t>
      </w:r>
      <w:r>
        <w:rPr>
          <w:rFonts w:ascii="方正小标宋简体" w:hAnsi="Arial Rounded MT Bold" w:eastAsia="方正小标宋简体"/>
          <w:w w:val="98"/>
          <w:kern w:val="0"/>
          <w:szCs w:val="21"/>
        </w:rPr>
        <w:t xml:space="preserve"> </w:t>
      </w:r>
      <w:r>
        <w:rPr>
          <w:rFonts w:hint="eastAsia" w:ascii="方正小标宋简体" w:hAnsi="Arial Rounded MT Bold" w:eastAsia="方正小标宋简体"/>
          <w:w w:val="98"/>
          <w:kern w:val="0"/>
          <w:sz w:val="32"/>
          <w:szCs w:val="32"/>
        </w:rPr>
        <w:t>UNIVERSIT</w:t>
      </w:r>
      <w:r>
        <w:rPr>
          <w:rFonts w:hint="eastAsia" w:ascii="方正小标宋简体" w:hAnsi="Arial Rounded MT Bold" w:eastAsia="方正小标宋简体"/>
          <w:spacing w:val="21"/>
          <w:w w:val="98"/>
          <w:kern w:val="0"/>
          <w:sz w:val="32"/>
          <w:szCs w:val="32"/>
        </w:rPr>
        <w:t>Y</w:t>
      </w:r>
    </w:p>
    <w:p>
      <w:pPr>
        <w:ind w:firstLine="3360" w:firstLineChars="1200"/>
      </w:pPr>
    </w:p>
    <w:p>
      <w:pPr>
        <w:ind w:firstLine="3360" w:firstLineChars="1200"/>
      </w:pPr>
    </w:p>
    <w:p>
      <w:pPr>
        <w:ind w:firstLine="3360" w:firstLineChars="1200"/>
      </w:pPr>
    </w:p>
    <w:p>
      <w:pPr>
        <w:spacing w:line="480" w:lineRule="auto"/>
        <w:jc w:val="center"/>
        <w:rPr>
          <w:rFonts w:ascii="黑体" w:hAnsi="黑体" w:eastAsia="黑体"/>
          <w:bCs/>
          <w:sz w:val="48"/>
          <w:szCs w:val="48"/>
        </w:rPr>
      </w:pPr>
      <w:r>
        <w:rPr>
          <w:rFonts w:hint="eastAsia" w:ascii="黑体" w:hAnsi="黑体" w:eastAsia="黑体"/>
          <w:bCs/>
          <w:kern w:val="0"/>
          <w:sz w:val="48"/>
          <w:szCs w:val="48"/>
        </w:rPr>
        <w:t>大型仪器设备购置可行性论证报告</w:t>
      </w:r>
    </w:p>
    <w:p>
      <w:pPr>
        <w:jc w:val="center"/>
        <w:rPr>
          <w:rFonts w:ascii="黑体" w:hAnsi="黑体" w:eastAsia="黑体"/>
          <w:b/>
          <w:bCs/>
          <w:sz w:val="44"/>
        </w:rPr>
      </w:pPr>
    </w:p>
    <w:p>
      <w:pPr>
        <w:rPr>
          <w:b/>
          <w:bCs/>
          <w:sz w:val="44"/>
        </w:rPr>
      </w:pPr>
    </w:p>
    <w:p>
      <w:pPr>
        <w:jc w:val="center"/>
        <w:rPr>
          <w:b/>
          <w:bCs/>
          <w:sz w:val="44"/>
        </w:rPr>
      </w:pPr>
    </w:p>
    <w:p>
      <w:pPr>
        <w:tabs>
          <w:tab w:val="left" w:pos="2454"/>
        </w:tabs>
        <w:rPr>
          <w:rFonts w:ascii="宋体" w:hAnsi="宋体"/>
          <w:sz w:val="32"/>
        </w:rPr>
      </w:pPr>
      <w:r>
        <w:rPr>
          <w:rFonts w:hint="eastAsia" w:ascii="仿宋_GB2312" w:hAnsi="宋体" w:eastAsia="仿宋_GB2312"/>
          <w:kern w:val="0"/>
          <w:sz w:val="32"/>
        </w:rPr>
        <w:t xml:space="preserve">     </w:t>
      </w:r>
      <w:r>
        <w:rPr>
          <w:rFonts w:hint="eastAsia" w:ascii="宋体" w:hAnsi="宋体"/>
          <w:kern w:val="0"/>
          <w:sz w:val="32"/>
        </w:rPr>
        <w:t xml:space="preserve">仪器设备名称  </w:t>
      </w:r>
      <w:r>
        <w:rPr>
          <w:rFonts w:hint="eastAsia" w:ascii="宋体" w:hAnsi="宋体"/>
          <w:kern w:val="0"/>
          <w:sz w:val="32"/>
          <w:szCs w:val="32"/>
          <w:u w:val="single"/>
        </w:rPr>
        <w:t xml:space="preserve">                            </w:t>
      </w:r>
    </w:p>
    <w:p>
      <w:pPr>
        <w:tabs>
          <w:tab w:val="left" w:pos="2454"/>
        </w:tabs>
        <w:ind w:firstLine="800" w:firstLineChars="250"/>
        <w:rPr>
          <w:rFonts w:ascii="宋体" w:hAnsi="宋体"/>
          <w:sz w:val="32"/>
        </w:rPr>
      </w:pPr>
      <w:r>
        <w:rPr>
          <w:rFonts w:hint="eastAsia" w:ascii="宋体" w:hAnsi="宋体"/>
          <w:kern w:val="0"/>
          <w:sz w:val="32"/>
        </w:rPr>
        <w:t>项  目  名  称</w:t>
      </w:r>
      <w:r>
        <w:rPr>
          <w:rFonts w:hint="eastAsia" w:ascii="宋体" w:hAnsi="宋体"/>
          <w:kern w:val="0"/>
          <w:sz w:val="32"/>
          <w:szCs w:val="32"/>
          <w:u w:val="single"/>
        </w:rPr>
        <w:t xml:space="preserve">                            </w:t>
      </w:r>
    </w:p>
    <w:p>
      <w:pPr>
        <w:tabs>
          <w:tab w:val="left" w:pos="2454"/>
        </w:tabs>
        <w:ind w:firstLine="800" w:firstLineChars="250"/>
        <w:rPr>
          <w:rFonts w:ascii="宋体" w:hAnsi="宋体"/>
          <w:sz w:val="32"/>
        </w:rPr>
      </w:pPr>
      <w:r>
        <w:rPr>
          <w:rFonts w:hint="eastAsia" w:ascii="宋体" w:hAnsi="宋体"/>
          <w:kern w:val="0"/>
          <w:sz w:val="32"/>
        </w:rPr>
        <w:t>项 目 负 责 人</w:t>
      </w:r>
      <w:r>
        <w:rPr>
          <w:rFonts w:hint="eastAsia" w:ascii="宋体" w:hAnsi="宋体"/>
          <w:kern w:val="0"/>
          <w:sz w:val="32"/>
          <w:szCs w:val="32"/>
          <w:u w:val="single"/>
        </w:rPr>
        <w:t xml:space="preserve">                            </w:t>
      </w:r>
    </w:p>
    <w:p>
      <w:pPr>
        <w:tabs>
          <w:tab w:val="left" w:pos="2454"/>
        </w:tabs>
        <w:ind w:firstLine="800" w:firstLineChars="250"/>
        <w:rPr>
          <w:rFonts w:ascii="宋体" w:hAnsi="宋体"/>
          <w:sz w:val="32"/>
        </w:rPr>
      </w:pPr>
      <w:r>
        <w:rPr>
          <w:rFonts w:hint="eastAsia" w:ascii="宋体" w:hAnsi="宋体"/>
          <w:kern w:val="0"/>
          <w:sz w:val="32"/>
        </w:rPr>
        <w:t>申  请  部  门</w:t>
      </w:r>
      <w:r>
        <w:rPr>
          <w:rFonts w:hint="eastAsia" w:ascii="宋体" w:hAnsi="宋体"/>
          <w:kern w:val="0"/>
          <w:sz w:val="32"/>
          <w:szCs w:val="32"/>
          <w:u w:val="single"/>
        </w:rPr>
        <w:t xml:space="preserve">                            </w:t>
      </w:r>
    </w:p>
    <w:p>
      <w:pPr>
        <w:tabs>
          <w:tab w:val="left" w:pos="2454"/>
        </w:tabs>
        <w:ind w:firstLine="800" w:firstLineChars="250"/>
        <w:rPr>
          <w:rFonts w:ascii="宋体" w:hAnsi="宋体"/>
        </w:rPr>
      </w:pPr>
      <w:r>
        <w:rPr>
          <w:rFonts w:hint="eastAsia" w:ascii="宋体" w:hAnsi="宋体"/>
          <w:kern w:val="0"/>
          <w:sz w:val="32"/>
        </w:rPr>
        <w:t>申  请  日  期</w:t>
      </w:r>
      <w:r>
        <w:rPr>
          <w:rFonts w:hint="eastAsia" w:ascii="宋体" w:hAnsi="宋体"/>
          <w:kern w:val="0"/>
          <w:sz w:val="32"/>
          <w:szCs w:val="32"/>
          <w:u w:val="single"/>
        </w:rPr>
        <w:t xml:space="preserve">                            </w:t>
      </w:r>
    </w:p>
    <w:p>
      <w:pPr>
        <w:spacing w:line="300" w:lineRule="exact"/>
        <w:jc w:val="center"/>
        <w:rPr>
          <w:rFonts w:ascii="宋体" w:hAnsi="宋体"/>
        </w:rPr>
      </w:pPr>
    </w:p>
    <w:p>
      <w:pPr>
        <w:spacing w:line="300" w:lineRule="exact"/>
        <w:jc w:val="center"/>
        <w:rPr>
          <w:rFonts w:ascii="宋体" w:hAnsi="宋体"/>
        </w:rPr>
      </w:pPr>
    </w:p>
    <w:p>
      <w:pPr>
        <w:snapToGrid w:val="0"/>
        <w:jc w:val="center"/>
        <w:rPr>
          <w:rFonts w:ascii="宋体" w:hAnsi="宋体"/>
        </w:rPr>
      </w:pPr>
    </w:p>
    <w:p>
      <w:pPr>
        <w:snapToGrid w:val="0"/>
        <w:jc w:val="center"/>
        <w:rPr>
          <w:rFonts w:ascii="宋体" w:hAnsi="宋体"/>
        </w:rPr>
      </w:pPr>
    </w:p>
    <w:p>
      <w:pPr>
        <w:snapToGrid w:val="0"/>
        <w:jc w:val="center"/>
        <w:rPr>
          <w:rFonts w:ascii="宋体" w:hAnsi="宋体"/>
        </w:rPr>
      </w:pPr>
    </w:p>
    <w:p>
      <w:pPr>
        <w:snapToGrid w:val="0"/>
        <w:jc w:val="center"/>
        <w:rPr>
          <w:rFonts w:ascii="宋体" w:hAnsi="宋体"/>
        </w:rPr>
      </w:pPr>
    </w:p>
    <w:p>
      <w:pPr>
        <w:snapToGrid w:val="0"/>
        <w:rPr>
          <w:rFonts w:ascii="宋体" w:hAnsi="宋体"/>
        </w:rPr>
      </w:pPr>
    </w:p>
    <w:p>
      <w:pPr>
        <w:snapToGrid w:val="0"/>
        <w:jc w:val="center"/>
        <w:rPr>
          <w:rFonts w:ascii="宋体" w:hAnsi="宋体"/>
          <w:sz w:val="32"/>
        </w:rPr>
      </w:pPr>
      <w:r>
        <w:rPr>
          <w:rFonts w:hint="eastAsia" w:ascii="宋体" w:hAnsi="宋体"/>
          <w:kern w:val="0"/>
          <w:sz w:val="32"/>
        </w:rPr>
        <w:t>实验室与设备管理处制</w:t>
      </w:r>
    </w:p>
    <w:p>
      <w:pPr>
        <w:snapToGrid w:val="0"/>
        <w:jc w:val="center"/>
        <w:rPr>
          <w:rFonts w:ascii="仿宋_GB2312" w:hAnsi="宋体" w:eastAsia="仿宋_GB2312"/>
          <w:sz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09"/>
        <w:gridCol w:w="521"/>
        <w:gridCol w:w="482"/>
        <w:gridCol w:w="1210"/>
        <w:gridCol w:w="827"/>
        <w:gridCol w:w="649"/>
        <w:gridCol w:w="1300"/>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51" w:type="dxa"/>
            <w:vMerge w:val="restart"/>
            <w:vAlign w:val="center"/>
          </w:tcPr>
          <w:p>
            <w:pPr>
              <w:spacing w:line="300" w:lineRule="exact"/>
              <w:jc w:val="center"/>
              <w:rPr>
                <w:rFonts w:ascii="宋体" w:hAnsi="宋体"/>
                <w:sz w:val="21"/>
                <w:szCs w:val="21"/>
              </w:rPr>
            </w:pPr>
            <w:r>
              <w:rPr>
                <w:rFonts w:hint="eastAsia" w:ascii="宋体" w:hAnsi="宋体"/>
                <w:kern w:val="0"/>
                <w:sz w:val="21"/>
                <w:szCs w:val="21"/>
              </w:rPr>
              <w:t>设备名称</w:t>
            </w:r>
          </w:p>
        </w:tc>
        <w:tc>
          <w:tcPr>
            <w:tcW w:w="909" w:type="dxa"/>
            <w:vAlign w:val="center"/>
          </w:tcPr>
          <w:p>
            <w:pPr>
              <w:spacing w:line="300" w:lineRule="exact"/>
              <w:jc w:val="center"/>
              <w:rPr>
                <w:rFonts w:ascii="宋体" w:hAnsi="宋体"/>
                <w:sz w:val="21"/>
                <w:szCs w:val="21"/>
              </w:rPr>
            </w:pPr>
            <w:r>
              <w:rPr>
                <w:rFonts w:hint="eastAsia" w:ascii="宋体" w:hAnsi="宋体"/>
                <w:kern w:val="0"/>
                <w:sz w:val="21"/>
                <w:szCs w:val="21"/>
              </w:rPr>
              <w:t>中文</w:t>
            </w:r>
          </w:p>
        </w:tc>
        <w:tc>
          <w:tcPr>
            <w:tcW w:w="6888" w:type="dxa"/>
            <w:gridSpan w:val="7"/>
            <w:vAlign w:val="center"/>
          </w:tcPr>
          <w:p>
            <w:pPr>
              <w:spacing w:line="3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51" w:type="dxa"/>
            <w:vMerge w:val="continue"/>
            <w:vAlign w:val="center"/>
          </w:tcPr>
          <w:p>
            <w:pPr>
              <w:spacing w:line="300" w:lineRule="exact"/>
              <w:jc w:val="center"/>
              <w:rPr>
                <w:rFonts w:ascii="宋体" w:hAnsi="宋体"/>
                <w:sz w:val="21"/>
                <w:szCs w:val="21"/>
              </w:rPr>
            </w:pPr>
          </w:p>
        </w:tc>
        <w:tc>
          <w:tcPr>
            <w:tcW w:w="909" w:type="dxa"/>
            <w:vAlign w:val="center"/>
          </w:tcPr>
          <w:p>
            <w:pPr>
              <w:spacing w:line="300" w:lineRule="exact"/>
              <w:jc w:val="center"/>
              <w:rPr>
                <w:rFonts w:ascii="宋体" w:hAnsi="宋体"/>
                <w:sz w:val="21"/>
                <w:szCs w:val="21"/>
              </w:rPr>
            </w:pPr>
            <w:r>
              <w:rPr>
                <w:rFonts w:hint="eastAsia" w:ascii="宋体" w:hAnsi="宋体"/>
                <w:kern w:val="0"/>
                <w:sz w:val="21"/>
                <w:szCs w:val="21"/>
              </w:rPr>
              <w:t>英文</w:t>
            </w:r>
          </w:p>
        </w:tc>
        <w:tc>
          <w:tcPr>
            <w:tcW w:w="6888" w:type="dxa"/>
            <w:gridSpan w:val="7"/>
            <w:vAlign w:val="center"/>
          </w:tcPr>
          <w:p>
            <w:pPr>
              <w:spacing w:line="3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51" w:type="dxa"/>
            <w:vAlign w:val="center"/>
          </w:tcPr>
          <w:p>
            <w:pPr>
              <w:spacing w:line="300" w:lineRule="exact"/>
              <w:jc w:val="center"/>
              <w:rPr>
                <w:rFonts w:ascii="宋体" w:hAnsi="宋体"/>
                <w:sz w:val="21"/>
                <w:szCs w:val="21"/>
              </w:rPr>
            </w:pPr>
            <w:r>
              <w:rPr>
                <w:rFonts w:hint="eastAsia" w:ascii="宋体" w:hAnsi="宋体"/>
                <w:kern w:val="0"/>
                <w:sz w:val="21"/>
                <w:szCs w:val="21"/>
              </w:rPr>
              <w:t>申购数量</w:t>
            </w:r>
          </w:p>
        </w:tc>
        <w:tc>
          <w:tcPr>
            <w:tcW w:w="1912" w:type="dxa"/>
            <w:gridSpan w:val="3"/>
            <w:vAlign w:val="center"/>
          </w:tcPr>
          <w:p>
            <w:pPr>
              <w:spacing w:line="300" w:lineRule="exact"/>
              <w:jc w:val="center"/>
              <w:rPr>
                <w:rFonts w:ascii="宋体" w:hAnsi="宋体"/>
                <w:sz w:val="21"/>
                <w:szCs w:val="21"/>
              </w:rPr>
            </w:pPr>
          </w:p>
        </w:tc>
        <w:tc>
          <w:tcPr>
            <w:tcW w:w="1210" w:type="dxa"/>
            <w:vAlign w:val="center"/>
          </w:tcPr>
          <w:p>
            <w:pPr>
              <w:spacing w:line="300" w:lineRule="exact"/>
              <w:jc w:val="center"/>
              <w:rPr>
                <w:rFonts w:ascii="宋体" w:hAnsi="宋体"/>
                <w:sz w:val="21"/>
                <w:szCs w:val="21"/>
              </w:rPr>
            </w:pPr>
            <w:r>
              <w:rPr>
                <w:rFonts w:hint="eastAsia" w:ascii="宋体" w:hAnsi="宋体"/>
                <w:kern w:val="0"/>
                <w:sz w:val="21"/>
                <w:szCs w:val="21"/>
              </w:rPr>
              <w:t>现行单价</w:t>
            </w:r>
          </w:p>
        </w:tc>
        <w:tc>
          <w:tcPr>
            <w:tcW w:w="4675" w:type="dxa"/>
            <w:gridSpan w:val="4"/>
            <w:vAlign w:val="center"/>
          </w:tcPr>
          <w:p>
            <w:pPr>
              <w:spacing w:line="300" w:lineRule="exact"/>
              <w:rPr>
                <w:rFonts w:ascii="宋体" w:hAnsi="宋体"/>
                <w:sz w:val="21"/>
                <w:szCs w:val="21"/>
              </w:rPr>
            </w:pPr>
            <w:r>
              <w:rPr>
                <w:rFonts w:hint="eastAsia" w:ascii="宋体" w:hAnsi="宋体"/>
                <w:kern w:val="0"/>
                <w:sz w:val="21"/>
                <w:szCs w:val="21"/>
              </w:rPr>
              <w:t>人民币：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51" w:type="dxa"/>
            <w:vAlign w:val="center"/>
          </w:tcPr>
          <w:p>
            <w:pPr>
              <w:spacing w:line="300" w:lineRule="exact"/>
              <w:jc w:val="center"/>
              <w:rPr>
                <w:rFonts w:ascii="宋体" w:hAnsi="宋体"/>
                <w:sz w:val="21"/>
                <w:szCs w:val="21"/>
              </w:rPr>
            </w:pPr>
            <w:r>
              <w:rPr>
                <w:rFonts w:hint="eastAsia" w:ascii="宋体" w:hAnsi="宋体"/>
                <w:kern w:val="0"/>
                <w:sz w:val="21"/>
                <w:szCs w:val="21"/>
              </w:rPr>
              <w:t>规格、型号</w:t>
            </w:r>
          </w:p>
        </w:tc>
        <w:tc>
          <w:tcPr>
            <w:tcW w:w="3122" w:type="dxa"/>
            <w:gridSpan w:val="4"/>
            <w:vAlign w:val="center"/>
          </w:tcPr>
          <w:p>
            <w:pPr>
              <w:spacing w:line="300" w:lineRule="exact"/>
              <w:jc w:val="center"/>
              <w:rPr>
                <w:rFonts w:ascii="宋体" w:hAnsi="宋体"/>
                <w:sz w:val="21"/>
                <w:szCs w:val="21"/>
              </w:rPr>
            </w:pPr>
          </w:p>
        </w:tc>
        <w:tc>
          <w:tcPr>
            <w:tcW w:w="1476" w:type="dxa"/>
            <w:gridSpan w:val="2"/>
            <w:vAlign w:val="center"/>
          </w:tcPr>
          <w:p>
            <w:pPr>
              <w:spacing w:line="300" w:lineRule="exact"/>
              <w:jc w:val="center"/>
              <w:rPr>
                <w:rFonts w:ascii="宋体" w:hAnsi="宋体"/>
                <w:sz w:val="21"/>
                <w:szCs w:val="21"/>
              </w:rPr>
            </w:pPr>
            <w:r>
              <w:rPr>
                <w:rFonts w:hint="eastAsia" w:ascii="宋体" w:hAnsi="宋体"/>
                <w:kern w:val="0"/>
                <w:sz w:val="21"/>
                <w:szCs w:val="21"/>
              </w:rPr>
              <w:t>经费主要来源</w:t>
            </w:r>
          </w:p>
        </w:tc>
        <w:tc>
          <w:tcPr>
            <w:tcW w:w="3199" w:type="dxa"/>
            <w:gridSpan w:val="2"/>
            <w:vAlign w:val="center"/>
          </w:tcPr>
          <w:p>
            <w:pPr>
              <w:spacing w:line="30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151" w:type="dxa"/>
            <w:tcBorders>
              <w:bottom w:val="single" w:color="auto" w:sz="4" w:space="0"/>
            </w:tcBorders>
            <w:vAlign w:val="center"/>
          </w:tcPr>
          <w:p>
            <w:pPr>
              <w:spacing w:line="300" w:lineRule="exact"/>
              <w:jc w:val="center"/>
              <w:rPr>
                <w:rFonts w:ascii="宋体" w:hAnsi="宋体"/>
                <w:kern w:val="0"/>
                <w:sz w:val="21"/>
                <w:szCs w:val="21"/>
              </w:rPr>
            </w:pPr>
            <w:r>
              <w:rPr>
                <w:rFonts w:hint="eastAsia" w:ascii="宋体" w:hAnsi="宋体"/>
                <w:w w:val="75"/>
                <w:kern w:val="0"/>
                <w:sz w:val="21"/>
                <w:szCs w:val="21"/>
              </w:rPr>
              <w:t>主要技术</w:t>
            </w:r>
          </w:p>
          <w:p>
            <w:pPr>
              <w:spacing w:line="300" w:lineRule="exact"/>
              <w:jc w:val="center"/>
              <w:rPr>
                <w:rFonts w:ascii="宋体" w:hAnsi="宋体"/>
                <w:sz w:val="21"/>
                <w:szCs w:val="21"/>
              </w:rPr>
            </w:pPr>
            <w:r>
              <w:rPr>
                <w:rFonts w:hint="eastAsia" w:ascii="宋体" w:hAnsi="宋体"/>
                <w:w w:val="60"/>
                <w:kern w:val="0"/>
                <w:sz w:val="21"/>
                <w:szCs w:val="21"/>
              </w:rPr>
              <w:t>指标与要</w:t>
            </w:r>
            <w:r>
              <w:rPr>
                <w:rFonts w:hint="eastAsia" w:ascii="宋体" w:hAnsi="宋体"/>
                <w:spacing w:val="3"/>
                <w:w w:val="60"/>
                <w:kern w:val="0"/>
                <w:sz w:val="21"/>
                <w:szCs w:val="21"/>
              </w:rPr>
              <w:t>求</w:t>
            </w:r>
          </w:p>
        </w:tc>
        <w:tc>
          <w:tcPr>
            <w:tcW w:w="7797" w:type="dxa"/>
            <w:gridSpan w:val="8"/>
          </w:tcPr>
          <w:p>
            <w:pPr>
              <w:spacing w:line="36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jc w:val="center"/>
        </w:trPr>
        <w:tc>
          <w:tcPr>
            <w:tcW w:w="1151" w:type="dxa"/>
            <w:tcBorders>
              <w:bottom w:val="single" w:color="auto" w:sz="4" w:space="0"/>
            </w:tcBorders>
            <w:vAlign w:val="center"/>
          </w:tcPr>
          <w:p>
            <w:pPr>
              <w:spacing w:line="300" w:lineRule="exact"/>
              <w:jc w:val="center"/>
              <w:rPr>
                <w:rFonts w:ascii="宋体" w:hAnsi="宋体"/>
                <w:sz w:val="21"/>
                <w:szCs w:val="21"/>
              </w:rPr>
            </w:pPr>
            <w:r>
              <w:rPr>
                <w:rFonts w:hint="eastAsia" w:ascii="宋体" w:hAnsi="宋体"/>
                <w:kern w:val="0"/>
                <w:sz w:val="21"/>
                <w:szCs w:val="21"/>
              </w:rPr>
              <w:t>申</w:t>
            </w:r>
          </w:p>
          <w:p>
            <w:pPr>
              <w:spacing w:line="300" w:lineRule="exact"/>
              <w:jc w:val="center"/>
              <w:rPr>
                <w:rFonts w:ascii="宋体" w:hAnsi="宋体"/>
                <w:sz w:val="21"/>
                <w:szCs w:val="21"/>
              </w:rPr>
            </w:pPr>
            <w:r>
              <w:rPr>
                <w:rFonts w:hint="eastAsia" w:ascii="宋体" w:hAnsi="宋体"/>
                <w:kern w:val="0"/>
                <w:sz w:val="21"/>
                <w:szCs w:val="21"/>
              </w:rPr>
              <w:t>购</w:t>
            </w:r>
          </w:p>
          <w:p>
            <w:pPr>
              <w:spacing w:line="300" w:lineRule="exact"/>
              <w:jc w:val="center"/>
              <w:rPr>
                <w:rFonts w:ascii="宋体" w:hAnsi="宋体"/>
                <w:sz w:val="21"/>
                <w:szCs w:val="21"/>
              </w:rPr>
            </w:pPr>
            <w:r>
              <w:rPr>
                <w:rFonts w:hint="eastAsia" w:ascii="宋体" w:hAnsi="宋体"/>
                <w:kern w:val="0"/>
                <w:sz w:val="21"/>
                <w:szCs w:val="21"/>
              </w:rPr>
              <w:t>理</w:t>
            </w:r>
          </w:p>
          <w:p>
            <w:pPr>
              <w:spacing w:line="300" w:lineRule="exact"/>
              <w:jc w:val="center"/>
              <w:rPr>
                <w:rFonts w:ascii="宋体" w:hAnsi="宋体"/>
                <w:sz w:val="21"/>
                <w:szCs w:val="21"/>
              </w:rPr>
            </w:pPr>
            <w:r>
              <w:rPr>
                <w:rFonts w:hint="eastAsia" w:ascii="宋体" w:hAnsi="宋体"/>
                <w:kern w:val="0"/>
                <w:sz w:val="21"/>
                <w:szCs w:val="21"/>
              </w:rPr>
              <w:t>由</w:t>
            </w:r>
          </w:p>
        </w:tc>
        <w:tc>
          <w:tcPr>
            <w:tcW w:w="7797" w:type="dxa"/>
            <w:gridSpan w:val="8"/>
          </w:tcPr>
          <w:p>
            <w:pPr>
              <w:spacing w:line="360" w:lineRule="exact"/>
              <w:ind w:firstLine="210" w:firstLineChars="100"/>
              <w:rPr>
                <w:rFonts w:ascii="宋体" w:hAnsi="宋体"/>
                <w:sz w:val="21"/>
                <w:szCs w:val="21"/>
              </w:rPr>
            </w:pPr>
            <w:r>
              <w:rPr>
                <w:rFonts w:hint="eastAsia" w:ascii="宋体" w:hAnsi="宋体"/>
                <w:sz w:val="21"/>
                <w:szCs w:val="21"/>
              </w:rPr>
              <w:t>（包括购置目的和必要性，并写明主要功能及应用范围，面向使用对象及学科专业方向，开放共享方案、预期达到的机时数）</w:t>
            </w:r>
          </w:p>
          <w:p>
            <w:pPr>
              <w:spacing w:line="360" w:lineRule="exact"/>
              <w:rPr>
                <w:rFonts w:ascii="宋体" w:hAnsi="宋体"/>
                <w:sz w:val="21"/>
                <w:szCs w:val="21"/>
              </w:rPr>
            </w:pPr>
          </w:p>
          <w:p>
            <w:pPr>
              <w:spacing w:line="360" w:lineRule="exact"/>
              <w:rPr>
                <w:rFonts w:ascii="宋体" w:hAnsi="宋体"/>
                <w:sz w:val="21"/>
                <w:szCs w:val="21"/>
              </w:rPr>
            </w:pPr>
          </w:p>
          <w:p>
            <w:pPr>
              <w:spacing w:line="360" w:lineRule="exact"/>
              <w:rPr>
                <w:rFonts w:ascii="宋体" w:hAnsi="宋体"/>
                <w:sz w:val="21"/>
                <w:szCs w:val="21"/>
              </w:rPr>
            </w:pPr>
          </w:p>
          <w:p>
            <w:pPr>
              <w:spacing w:line="360" w:lineRule="exact"/>
              <w:rPr>
                <w:rFonts w:ascii="宋体" w:hAnsi="宋体"/>
                <w:sz w:val="21"/>
                <w:szCs w:val="21"/>
              </w:rPr>
            </w:pPr>
          </w:p>
          <w:p>
            <w:pPr>
              <w:spacing w:line="360" w:lineRule="exact"/>
              <w:rPr>
                <w:rFonts w:ascii="宋体" w:hAnsi="宋体"/>
                <w:sz w:val="21"/>
                <w:szCs w:val="21"/>
              </w:rPr>
            </w:pPr>
          </w:p>
          <w:p>
            <w:pPr>
              <w:spacing w:line="36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6" w:hRule="atLeast"/>
          <w:jc w:val="center"/>
        </w:trPr>
        <w:tc>
          <w:tcPr>
            <w:tcW w:w="1151" w:type="dxa"/>
            <w:vMerge w:val="restart"/>
            <w:vAlign w:val="center"/>
          </w:tcPr>
          <w:p>
            <w:pPr>
              <w:spacing w:line="360" w:lineRule="exact"/>
              <w:ind w:left="120"/>
              <w:jc w:val="center"/>
              <w:rPr>
                <w:rFonts w:ascii="宋体" w:hAnsi="宋体"/>
                <w:bCs/>
                <w:spacing w:val="10"/>
                <w:sz w:val="21"/>
                <w:szCs w:val="21"/>
              </w:rPr>
            </w:pPr>
            <w:r>
              <w:rPr>
                <w:rFonts w:hint="eastAsia" w:ascii="宋体" w:hAnsi="宋体"/>
                <w:bCs/>
                <w:spacing w:val="10"/>
                <w:sz w:val="21"/>
                <w:szCs w:val="21"/>
              </w:rPr>
              <w:t>资金落实与人员安排</w:t>
            </w:r>
          </w:p>
          <w:p>
            <w:pPr>
              <w:spacing w:line="360" w:lineRule="exact"/>
              <w:ind w:left="120"/>
              <w:jc w:val="center"/>
              <w:rPr>
                <w:rFonts w:ascii="宋体" w:hAnsi="宋体"/>
                <w:bCs/>
                <w:spacing w:val="10"/>
                <w:sz w:val="21"/>
                <w:szCs w:val="21"/>
              </w:rPr>
            </w:pPr>
            <w:r>
              <w:rPr>
                <w:rFonts w:hint="eastAsia" w:ascii="宋体" w:hAnsi="宋体"/>
                <w:bCs/>
                <w:spacing w:val="10"/>
                <w:sz w:val="21"/>
                <w:szCs w:val="21"/>
              </w:rPr>
              <w:t>及设备</w:t>
            </w:r>
          </w:p>
          <w:p>
            <w:pPr>
              <w:spacing w:line="360" w:lineRule="exact"/>
              <w:ind w:left="120"/>
              <w:jc w:val="center"/>
              <w:rPr>
                <w:rFonts w:ascii="宋体" w:hAnsi="宋体"/>
                <w:bCs/>
                <w:spacing w:val="10"/>
                <w:sz w:val="21"/>
                <w:szCs w:val="21"/>
              </w:rPr>
            </w:pPr>
            <w:r>
              <w:rPr>
                <w:rFonts w:hint="eastAsia" w:ascii="宋体" w:hAnsi="宋体"/>
                <w:bCs/>
                <w:spacing w:val="10"/>
                <w:sz w:val="21"/>
                <w:szCs w:val="21"/>
              </w:rPr>
              <w:t>安装条件</w:t>
            </w:r>
          </w:p>
        </w:tc>
        <w:tc>
          <w:tcPr>
            <w:tcW w:w="7797" w:type="dxa"/>
            <w:gridSpan w:val="8"/>
          </w:tcPr>
          <w:p>
            <w:pPr>
              <w:rPr>
                <w:rFonts w:ascii="宋体" w:hAnsi="宋体"/>
                <w:bCs/>
                <w:sz w:val="21"/>
                <w:szCs w:val="21"/>
              </w:rPr>
            </w:pPr>
            <w:r>
              <w:rPr>
                <w:rFonts w:hint="eastAsia" w:ascii="宋体" w:hAnsi="宋体"/>
                <w:bCs/>
                <w:kern w:val="0"/>
                <w:sz w:val="21"/>
                <w:szCs w:val="21"/>
              </w:rPr>
              <w:t>1.资金落实</w:t>
            </w:r>
          </w:p>
          <w:p>
            <w:pPr>
              <w:rPr>
                <w:rFonts w:ascii="宋体" w:hAnsi="宋体"/>
                <w:bCs/>
                <w:sz w:val="21"/>
                <w:szCs w:val="21"/>
              </w:rPr>
            </w:pPr>
          </w:p>
          <w:p>
            <w:pPr>
              <w:rPr>
                <w:rFonts w:ascii="宋体" w:hAnsi="宋体"/>
                <w:bCs/>
                <w:sz w:val="21"/>
                <w:szCs w:val="21"/>
              </w:rPr>
            </w:pPr>
          </w:p>
          <w:p>
            <w:pPr>
              <w:rPr>
                <w:rFonts w:ascii="宋体" w:hAnsi="宋体"/>
                <w:bCs/>
                <w:sz w:val="21"/>
                <w:szCs w:val="21"/>
              </w:rPr>
            </w:pPr>
            <w:r>
              <w:rPr>
                <w:rFonts w:hint="eastAsia" w:ascii="宋体" w:hAnsi="宋体"/>
                <w:bCs/>
                <w:kern w:val="0"/>
                <w:sz w:val="21"/>
                <w:szCs w:val="21"/>
              </w:rPr>
              <w:t>2.人员安排</w:t>
            </w:r>
          </w:p>
          <w:p>
            <w:pPr>
              <w:spacing w:before="114" w:beforeLines="30"/>
              <w:rPr>
                <w:rFonts w:ascii="宋体" w:hAnsi="宋体"/>
                <w:sz w:val="21"/>
                <w:szCs w:val="21"/>
              </w:rPr>
            </w:pPr>
            <w:r>
              <w:rPr>
                <w:rFonts w:hint="eastAsia" w:ascii="宋体" w:hAnsi="宋体"/>
                <w:bCs/>
                <w:kern w:val="0"/>
                <w:sz w:val="21"/>
                <w:szCs w:val="21"/>
              </w:rPr>
              <w:t xml:space="preserve"> </w:t>
            </w:r>
            <w:r>
              <w:rPr>
                <w:rFonts w:hint="eastAsia" w:ascii="宋体" w:hAnsi="宋体"/>
                <w:kern w:val="0"/>
                <w:sz w:val="21"/>
                <w:szCs w:val="21"/>
              </w:rPr>
              <w:t xml:space="preserve">设备负责人: </w:t>
            </w:r>
            <w:r>
              <w:rPr>
                <w:rFonts w:hint="eastAsia" w:ascii="宋体" w:hAnsi="宋体"/>
                <w:kern w:val="0"/>
                <w:sz w:val="21"/>
                <w:szCs w:val="21"/>
                <w:u w:val="single"/>
              </w:rPr>
              <w:t xml:space="preserve">             </w:t>
            </w:r>
            <w:r>
              <w:rPr>
                <w:rFonts w:hint="eastAsia" w:ascii="宋体" w:hAnsi="宋体"/>
                <w:kern w:val="0"/>
                <w:sz w:val="21"/>
                <w:szCs w:val="21"/>
              </w:rPr>
              <w:t xml:space="preserve"> 职称 </w:t>
            </w:r>
            <w:r>
              <w:rPr>
                <w:rFonts w:hint="eastAsia" w:ascii="宋体" w:hAnsi="宋体"/>
                <w:kern w:val="0"/>
                <w:sz w:val="21"/>
                <w:szCs w:val="21"/>
                <w:u w:val="single"/>
              </w:rPr>
              <w:t xml:space="preserve">         </w:t>
            </w:r>
            <w:r>
              <w:rPr>
                <w:rFonts w:hint="eastAsia" w:ascii="宋体" w:hAnsi="宋体"/>
                <w:kern w:val="0"/>
                <w:sz w:val="21"/>
                <w:szCs w:val="21"/>
              </w:rPr>
              <w:t xml:space="preserve">  是否专职</w:t>
            </w:r>
            <w:r>
              <w:rPr>
                <w:rFonts w:hint="eastAsia" w:ascii="宋体" w:hAnsi="宋体"/>
                <w:kern w:val="0"/>
                <w:sz w:val="21"/>
                <w:szCs w:val="21"/>
                <w:u w:val="single"/>
              </w:rPr>
              <w:t xml:space="preserve">          </w:t>
            </w:r>
          </w:p>
          <w:p>
            <w:pPr>
              <w:spacing w:before="76" w:beforeLines="20"/>
              <w:ind w:left="119"/>
              <w:rPr>
                <w:rFonts w:ascii="宋体" w:hAnsi="宋体"/>
                <w:sz w:val="21"/>
                <w:szCs w:val="21"/>
              </w:rPr>
            </w:pPr>
            <w:r>
              <w:rPr>
                <w:rFonts w:hint="eastAsia" w:ascii="宋体" w:hAnsi="宋体"/>
                <w:kern w:val="0"/>
                <w:sz w:val="21"/>
                <w:szCs w:val="21"/>
              </w:rPr>
              <w:t>主要操作人员:</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417"/>
              <w:gridCol w:w="1560"/>
              <w:gridCol w:w="1365"/>
              <w:gridCol w:w="132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pacing w:before="76" w:beforeLines="20"/>
                    <w:jc w:val="center"/>
                    <w:rPr>
                      <w:rFonts w:ascii="宋体" w:hAnsi="宋体"/>
                      <w:sz w:val="21"/>
                      <w:szCs w:val="21"/>
                    </w:rPr>
                  </w:pPr>
                  <w:r>
                    <w:rPr>
                      <w:rFonts w:hint="eastAsia" w:ascii="宋体" w:hAnsi="宋体"/>
                      <w:kern w:val="0"/>
                      <w:sz w:val="21"/>
                      <w:szCs w:val="21"/>
                    </w:rPr>
                    <w:t>姓名</w:t>
                  </w:r>
                </w:p>
              </w:tc>
              <w:tc>
                <w:tcPr>
                  <w:tcW w:w="1417" w:type="dxa"/>
                </w:tcPr>
                <w:p>
                  <w:pPr>
                    <w:spacing w:before="76" w:beforeLines="20"/>
                    <w:jc w:val="center"/>
                    <w:rPr>
                      <w:rFonts w:ascii="宋体" w:hAnsi="宋体"/>
                      <w:sz w:val="21"/>
                      <w:szCs w:val="21"/>
                    </w:rPr>
                  </w:pPr>
                  <w:r>
                    <w:rPr>
                      <w:rFonts w:hint="eastAsia" w:ascii="宋体" w:hAnsi="宋体"/>
                      <w:kern w:val="0"/>
                      <w:sz w:val="21"/>
                      <w:szCs w:val="21"/>
                    </w:rPr>
                    <w:t>职称</w:t>
                  </w:r>
                </w:p>
              </w:tc>
              <w:tc>
                <w:tcPr>
                  <w:tcW w:w="1560" w:type="dxa"/>
                </w:tcPr>
                <w:p>
                  <w:pPr>
                    <w:spacing w:before="76" w:beforeLines="20"/>
                    <w:jc w:val="center"/>
                    <w:rPr>
                      <w:rFonts w:ascii="宋体" w:hAnsi="宋体"/>
                      <w:sz w:val="21"/>
                      <w:szCs w:val="21"/>
                    </w:rPr>
                  </w:pPr>
                  <w:r>
                    <w:rPr>
                      <w:rFonts w:hint="eastAsia" w:ascii="宋体" w:hAnsi="宋体"/>
                      <w:kern w:val="0"/>
                      <w:sz w:val="21"/>
                      <w:szCs w:val="21"/>
                    </w:rPr>
                    <w:t>专管或兼管</w:t>
                  </w:r>
                </w:p>
              </w:tc>
              <w:tc>
                <w:tcPr>
                  <w:tcW w:w="1365" w:type="dxa"/>
                </w:tcPr>
                <w:p>
                  <w:pPr>
                    <w:spacing w:before="76" w:beforeLines="20"/>
                    <w:jc w:val="center"/>
                    <w:rPr>
                      <w:rFonts w:ascii="宋体" w:hAnsi="宋体"/>
                      <w:sz w:val="21"/>
                      <w:szCs w:val="21"/>
                    </w:rPr>
                  </w:pPr>
                  <w:r>
                    <w:rPr>
                      <w:rFonts w:hint="eastAsia" w:ascii="宋体" w:hAnsi="宋体"/>
                      <w:kern w:val="0"/>
                      <w:sz w:val="21"/>
                      <w:szCs w:val="21"/>
                    </w:rPr>
                    <w:t>是否使用过</w:t>
                  </w:r>
                </w:p>
              </w:tc>
              <w:tc>
                <w:tcPr>
                  <w:tcW w:w="1328" w:type="dxa"/>
                </w:tcPr>
                <w:p>
                  <w:pPr>
                    <w:spacing w:before="76" w:beforeLines="20"/>
                    <w:jc w:val="center"/>
                    <w:rPr>
                      <w:rFonts w:ascii="宋体" w:hAnsi="宋体"/>
                      <w:sz w:val="21"/>
                      <w:szCs w:val="21"/>
                    </w:rPr>
                  </w:pPr>
                  <w:r>
                    <w:rPr>
                      <w:rFonts w:hint="eastAsia" w:ascii="宋体" w:hAnsi="宋体"/>
                      <w:kern w:val="0"/>
                      <w:sz w:val="21"/>
                      <w:szCs w:val="21"/>
                    </w:rPr>
                    <w:t>熟练程度</w:t>
                  </w:r>
                </w:p>
              </w:tc>
              <w:tc>
                <w:tcPr>
                  <w:tcW w:w="1387" w:type="dxa"/>
                </w:tcPr>
                <w:p>
                  <w:pPr>
                    <w:spacing w:before="76" w:beforeLines="20"/>
                    <w:jc w:val="center"/>
                    <w:rPr>
                      <w:rFonts w:ascii="宋体" w:hAnsi="宋体"/>
                      <w:sz w:val="21"/>
                      <w:szCs w:val="21"/>
                    </w:rPr>
                  </w:pPr>
                  <w:r>
                    <w:rPr>
                      <w:rFonts w:hint="eastAsia" w:ascii="宋体" w:hAnsi="宋体"/>
                      <w:kern w:val="0"/>
                      <w:sz w:val="21"/>
                      <w:szCs w:val="21"/>
                    </w:rPr>
                    <w:t>是否需培训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pacing w:before="76" w:beforeLines="20"/>
                    <w:rPr>
                      <w:rFonts w:ascii="宋体" w:hAnsi="宋体"/>
                      <w:sz w:val="21"/>
                      <w:szCs w:val="21"/>
                    </w:rPr>
                  </w:pPr>
                </w:p>
              </w:tc>
              <w:tc>
                <w:tcPr>
                  <w:tcW w:w="1417" w:type="dxa"/>
                </w:tcPr>
                <w:p>
                  <w:pPr>
                    <w:spacing w:before="76" w:beforeLines="20"/>
                    <w:rPr>
                      <w:rFonts w:ascii="宋体" w:hAnsi="宋体"/>
                      <w:sz w:val="21"/>
                      <w:szCs w:val="21"/>
                    </w:rPr>
                  </w:pPr>
                </w:p>
              </w:tc>
              <w:tc>
                <w:tcPr>
                  <w:tcW w:w="1560" w:type="dxa"/>
                </w:tcPr>
                <w:p>
                  <w:pPr>
                    <w:spacing w:before="76" w:beforeLines="20"/>
                    <w:rPr>
                      <w:rFonts w:ascii="宋体" w:hAnsi="宋体"/>
                      <w:sz w:val="21"/>
                      <w:szCs w:val="21"/>
                    </w:rPr>
                  </w:pPr>
                </w:p>
              </w:tc>
              <w:tc>
                <w:tcPr>
                  <w:tcW w:w="1365" w:type="dxa"/>
                </w:tcPr>
                <w:p>
                  <w:pPr>
                    <w:spacing w:before="76" w:beforeLines="20"/>
                    <w:rPr>
                      <w:rFonts w:ascii="宋体" w:hAnsi="宋体"/>
                      <w:sz w:val="21"/>
                      <w:szCs w:val="21"/>
                    </w:rPr>
                  </w:pPr>
                </w:p>
              </w:tc>
              <w:tc>
                <w:tcPr>
                  <w:tcW w:w="1328" w:type="dxa"/>
                </w:tcPr>
                <w:p>
                  <w:pPr>
                    <w:spacing w:before="76" w:beforeLines="20"/>
                    <w:rPr>
                      <w:rFonts w:ascii="宋体" w:hAnsi="宋体"/>
                      <w:sz w:val="21"/>
                      <w:szCs w:val="21"/>
                    </w:rPr>
                  </w:pPr>
                </w:p>
              </w:tc>
              <w:tc>
                <w:tcPr>
                  <w:tcW w:w="1387" w:type="dxa"/>
                </w:tcPr>
                <w:p>
                  <w:pPr>
                    <w:spacing w:before="76" w:beforeLines="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pacing w:before="76" w:beforeLines="20"/>
                    <w:rPr>
                      <w:rFonts w:ascii="宋体" w:hAnsi="宋体"/>
                      <w:sz w:val="21"/>
                      <w:szCs w:val="21"/>
                    </w:rPr>
                  </w:pPr>
                </w:p>
              </w:tc>
              <w:tc>
                <w:tcPr>
                  <w:tcW w:w="1417" w:type="dxa"/>
                </w:tcPr>
                <w:p>
                  <w:pPr>
                    <w:spacing w:before="76" w:beforeLines="20"/>
                    <w:rPr>
                      <w:rFonts w:ascii="宋体" w:hAnsi="宋体"/>
                      <w:sz w:val="21"/>
                      <w:szCs w:val="21"/>
                    </w:rPr>
                  </w:pPr>
                </w:p>
              </w:tc>
              <w:tc>
                <w:tcPr>
                  <w:tcW w:w="1560" w:type="dxa"/>
                </w:tcPr>
                <w:p>
                  <w:pPr>
                    <w:spacing w:before="76" w:beforeLines="20"/>
                    <w:rPr>
                      <w:rFonts w:ascii="宋体" w:hAnsi="宋体"/>
                      <w:sz w:val="21"/>
                      <w:szCs w:val="21"/>
                    </w:rPr>
                  </w:pPr>
                </w:p>
              </w:tc>
              <w:tc>
                <w:tcPr>
                  <w:tcW w:w="1365" w:type="dxa"/>
                </w:tcPr>
                <w:p>
                  <w:pPr>
                    <w:spacing w:before="76" w:beforeLines="20"/>
                    <w:rPr>
                      <w:rFonts w:ascii="宋体" w:hAnsi="宋体"/>
                      <w:sz w:val="21"/>
                      <w:szCs w:val="21"/>
                    </w:rPr>
                  </w:pPr>
                </w:p>
              </w:tc>
              <w:tc>
                <w:tcPr>
                  <w:tcW w:w="1328" w:type="dxa"/>
                </w:tcPr>
                <w:p>
                  <w:pPr>
                    <w:spacing w:before="76" w:beforeLines="20"/>
                    <w:rPr>
                      <w:rFonts w:ascii="宋体" w:hAnsi="宋体"/>
                      <w:sz w:val="21"/>
                      <w:szCs w:val="21"/>
                    </w:rPr>
                  </w:pPr>
                </w:p>
              </w:tc>
              <w:tc>
                <w:tcPr>
                  <w:tcW w:w="1387" w:type="dxa"/>
                </w:tcPr>
                <w:p>
                  <w:pPr>
                    <w:spacing w:before="76" w:beforeLines="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pacing w:before="76" w:beforeLines="20"/>
                    <w:rPr>
                      <w:rFonts w:ascii="宋体" w:hAnsi="宋体"/>
                      <w:sz w:val="21"/>
                      <w:szCs w:val="21"/>
                    </w:rPr>
                  </w:pPr>
                </w:p>
              </w:tc>
              <w:tc>
                <w:tcPr>
                  <w:tcW w:w="1417" w:type="dxa"/>
                </w:tcPr>
                <w:p>
                  <w:pPr>
                    <w:spacing w:before="76" w:beforeLines="20"/>
                    <w:rPr>
                      <w:rFonts w:ascii="宋体" w:hAnsi="宋体"/>
                      <w:sz w:val="21"/>
                      <w:szCs w:val="21"/>
                    </w:rPr>
                  </w:pPr>
                </w:p>
              </w:tc>
              <w:tc>
                <w:tcPr>
                  <w:tcW w:w="1560" w:type="dxa"/>
                </w:tcPr>
                <w:p>
                  <w:pPr>
                    <w:spacing w:before="76" w:beforeLines="20"/>
                    <w:rPr>
                      <w:rFonts w:ascii="宋体" w:hAnsi="宋体"/>
                      <w:sz w:val="21"/>
                      <w:szCs w:val="21"/>
                    </w:rPr>
                  </w:pPr>
                </w:p>
              </w:tc>
              <w:tc>
                <w:tcPr>
                  <w:tcW w:w="1365" w:type="dxa"/>
                </w:tcPr>
                <w:p>
                  <w:pPr>
                    <w:spacing w:before="76" w:beforeLines="20"/>
                    <w:rPr>
                      <w:rFonts w:ascii="宋体" w:hAnsi="宋体"/>
                      <w:sz w:val="21"/>
                      <w:szCs w:val="21"/>
                    </w:rPr>
                  </w:pPr>
                </w:p>
              </w:tc>
              <w:tc>
                <w:tcPr>
                  <w:tcW w:w="1328" w:type="dxa"/>
                </w:tcPr>
                <w:p>
                  <w:pPr>
                    <w:spacing w:before="76" w:beforeLines="20"/>
                    <w:rPr>
                      <w:rFonts w:ascii="宋体" w:hAnsi="宋体"/>
                      <w:sz w:val="21"/>
                      <w:szCs w:val="21"/>
                    </w:rPr>
                  </w:pPr>
                </w:p>
              </w:tc>
              <w:tc>
                <w:tcPr>
                  <w:tcW w:w="1387" w:type="dxa"/>
                </w:tcPr>
                <w:p>
                  <w:pPr>
                    <w:spacing w:before="76" w:beforeLines="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spacing w:before="76" w:beforeLines="20"/>
                    <w:rPr>
                      <w:rFonts w:ascii="宋体" w:hAnsi="宋体"/>
                      <w:sz w:val="21"/>
                      <w:szCs w:val="21"/>
                    </w:rPr>
                  </w:pPr>
                </w:p>
              </w:tc>
              <w:tc>
                <w:tcPr>
                  <w:tcW w:w="1417" w:type="dxa"/>
                </w:tcPr>
                <w:p>
                  <w:pPr>
                    <w:spacing w:before="76" w:beforeLines="20"/>
                    <w:rPr>
                      <w:rFonts w:ascii="宋体" w:hAnsi="宋体"/>
                      <w:sz w:val="21"/>
                      <w:szCs w:val="21"/>
                    </w:rPr>
                  </w:pPr>
                </w:p>
              </w:tc>
              <w:tc>
                <w:tcPr>
                  <w:tcW w:w="1560" w:type="dxa"/>
                </w:tcPr>
                <w:p>
                  <w:pPr>
                    <w:spacing w:before="76" w:beforeLines="20"/>
                    <w:rPr>
                      <w:rFonts w:ascii="宋体" w:hAnsi="宋体"/>
                      <w:sz w:val="21"/>
                      <w:szCs w:val="21"/>
                    </w:rPr>
                  </w:pPr>
                </w:p>
              </w:tc>
              <w:tc>
                <w:tcPr>
                  <w:tcW w:w="1365" w:type="dxa"/>
                </w:tcPr>
                <w:p>
                  <w:pPr>
                    <w:spacing w:before="76" w:beforeLines="20"/>
                    <w:rPr>
                      <w:rFonts w:ascii="宋体" w:hAnsi="宋体"/>
                      <w:sz w:val="21"/>
                      <w:szCs w:val="21"/>
                    </w:rPr>
                  </w:pPr>
                </w:p>
              </w:tc>
              <w:tc>
                <w:tcPr>
                  <w:tcW w:w="1328" w:type="dxa"/>
                </w:tcPr>
                <w:p>
                  <w:pPr>
                    <w:spacing w:before="76" w:beforeLines="20"/>
                    <w:rPr>
                      <w:rFonts w:ascii="宋体" w:hAnsi="宋体"/>
                      <w:sz w:val="21"/>
                      <w:szCs w:val="21"/>
                    </w:rPr>
                  </w:pPr>
                </w:p>
              </w:tc>
              <w:tc>
                <w:tcPr>
                  <w:tcW w:w="1387" w:type="dxa"/>
                </w:tcPr>
                <w:p>
                  <w:pPr>
                    <w:spacing w:before="76" w:beforeLines="20"/>
                    <w:rPr>
                      <w:rFonts w:ascii="宋体" w:hAnsi="宋体"/>
                      <w:sz w:val="21"/>
                      <w:szCs w:val="21"/>
                    </w:rPr>
                  </w:pPr>
                </w:p>
              </w:tc>
            </w:tr>
          </w:tbl>
          <w:p>
            <w:pPr>
              <w:spacing w:before="76" w:beforeLines="20"/>
              <w:ind w:left="119" w:firstLine="1365" w:firstLineChars="65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3" w:hRule="atLeast"/>
          <w:jc w:val="center"/>
        </w:trPr>
        <w:tc>
          <w:tcPr>
            <w:tcW w:w="1151" w:type="dxa"/>
            <w:vMerge w:val="continue"/>
          </w:tcPr>
          <w:p>
            <w:pPr>
              <w:spacing w:line="360" w:lineRule="exact"/>
              <w:ind w:left="120"/>
              <w:rPr>
                <w:rFonts w:ascii="宋体" w:hAnsi="宋体"/>
                <w:b/>
                <w:bCs/>
                <w:sz w:val="21"/>
                <w:szCs w:val="21"/>
              </w:rPr>
            </w:pPr>
          </w:p>
        </w:tc>
        <w:tc>
          <w:tcPr>
            <w:tcW w:w="7797" w:type="dxa"/>
            <w:gridSpan w:val="8"/>
          </w:tcPr>
          <w:p>
            <w:pPr>
              <w:rPr>
                <w:rFonts w:ascii="宋体" w:hAnsi="宋体"/>
                <w:sz w:val="21"/>
                <w:szCs w:val="21"/>
              </w:rPr>
            </w:pPr>
            <w:r>
              <w:rPr>
                <w:rFonts w:hint="eastAsia" w:ascii="宋体" w:hAnsi="宋体"/>
                <w:kern w:val="0"/>
                <w:sz w:val="21"/>
                <w:szCs w:val="21"/>
              </w:rPr>
              <w:t>3.安装条件：</w:t>
            </w:r>
          </w:p>
          <w:p>
            <w:pPr>
              <w:spacing w:before="76" w:beforeLines="20"/>
              <w:rPr>
                <w:rFonts w:ascii="宋体" w:hAnsi="宋体"/>
                <w:sz w:val="21"/>
                <w:szCs w:val="21"/>
              </w:rPr>
            </w:pPr>
            <w:r>
              <w:rPr>
                <w:rFonts w:hint="eastAsia" w:ascii="宋体" w:hAnsi="宋体"/>
                <w:kern w:val="0"/>
                <w:sz w:val="21"/>
                <w:szCs w:val="21"/>
              </w:rPr>
              <w:t>①设备安置地址：_</w:t>
            </w:r>
            <w:r>
              <w:rPr>
                <w:rFonts w:hint="eastAsia" w:ascii="宋体" w:hAnsi="宋体"/>
                <w:kern w:val="0"/>
                <w:sz w:val="21"/>
                <w:szCs w:val="21"/>
                <w:u w:val="single"/>
              </w:rPr>
              <w:t>_        _号</w:t>
            </w:r>
            <w:r>
              <w:rPr>
                <w:rFonts w:hint="eastAsia" w:ascii="宋体" w:hAnsi="宋体"/>
                <w:kern w:val="0"/>
                <w:sz w:val="21"/>
                <w:szCs w:val="21"/>
              </w:rPr>
              <w:t>楼</w:t>
            </w:r>
            <w:r>
              <w:rPr>
                <w:rFonts w:hint="eastAsia" w:ascii="宋体" w:hAnsi="宋体"/>
                <w:kern w:val="0"/>
                <w:sz w:val="21"/>
                <w:szCs w:val="21"/>
                <w:u w:val="single"/>
              </w:rPr>
              <w:t>_        _</w:t>
            </w:r>
            <w:r>
              <w:rPr>
                <w:rFonts w:hint="eastAsia" w:ascii="宋体" w:hAnsi="宋体"/>
                <w:kern w:val="0"/>
                <w:sz w:val="21"/>
                <w:szCs w:val="21"/>
              </w:rPr>
              <w:t xml:space="preserve">房间； </w:t>
            </w:r>
          </w:p>
          <w:p>
            <w:pPr>
              <w:spacing w:before="76" w:beforeLines="20"/>
              <w:rPr>
                <w:rFonts w:ascii="宋体" w:hAnsi="宋体"/>
                <w:sz w:val="21"/>
                <w:szCs w:val="21"/>
              </w:rPr>
            </w:pPr>
            <w:r>
              <w:rPr>
                <w:rFonts w:hint="eastAsia" w:ascii="宋体" w:hAnsi="宋体"/>
                <w:kern w:val="0"/>
                <w:sz w:val="21"/>
                <w:szCs w:val="21"/>
              </w:rPr>
              <w:t>②房间是否满足安装条件：面积：</w:t>
            </w:r>
            <w:r>
              <w:rPr>
                <w:rFonts w:hint="eastAsia" w:ascii="宋体" w:hAnsi="宋体"/>
                <w:kern w:val="0"/>
                <w:sz w:val="21"/>
                <w:szCs w:val="21"/>
                <w:u w:val="single"/>
              </w:rPr>
              <w:t xml:space="preserve"> 是 / 否 </w:t>
            </w:r>
            <w:r>
              <w:rPr>
                <w:rFonts w:hint="eastAsia" w:ascii="宋体" w:hAnsi="宋体"/>
                <w:kern w:val="0"/>
                <w:sz w:val="21"/>
                <w:szCs w:val="21"/>
              </w:rPr>
              <w:t>，楼高：</w:t>
            </w:r>
            <w:r>
              <w:rPr>
                <w:rFonts w:hint="eastAsia" w:ascii="宋体" w:hAnsi="宋体"/>
                <w:kern w:val="0"/>
                <w:sz w:val="21"/>
                <w:szCs w:val="21"/>
                <w:u w:val="single"/>
              </w:rPr>
              <w:t xml:space="preserve"> 是 / 否</w:t>
            </w:r>
            <w:r>
              <w:rPr>
                <w:rFonts w:hint="eastAsia" w:ascii="宋体" w:hAnsi="宋体"/>
                <w:kern w:val="0"/>
                <w:sz w:val="21"/>
                <w:szCs w:val="21"/>
              </w:rPr>
              <w:t>；承重：</w:t>
            </w:r>
            <w:r>
              <w:rPr>
                <w:rFonts w:hint="eastAsia" w:ascii="宋体" w:hAnsi="宋体"/>
                <w:kern w:val="0"/>
                <w:sz w:val="21"/>
                <w:szCs w:val="21"/>
                <w:u w:val="single"/>
              </w:rPr>
              <w:t xml:space="preserve"> 是 / 否</w:t>
            </w:r>
            <w:r>
              <w:rPr>
                <w:rFonts w:hint="eastAsia" w:ascii="宋体" w:hAnsi="宋体"/>
                <w:kern w:val="0"/>
                <w:sz w:val="21"/>
                <w:szCs w:val="21"/>
              </w:rPr>
              <w:t>；</w:t>
            </w:r>
          </w:p>
          <w:p>
            <w:pPr>
              <w:spacing w:before="76" w:beforeLines="20"/>
              <w:rPr>
                <w:rFonts w:ascii="宋体" w:hAnsi="宋体"/>
                <w:sz w:val="21"/>
                <w:szCs w:val="21"/>
              </w:rPr>
            </w:pPr>
            <w:r>
              <w:rPr>
                <w:rFonts w:hint="eastAsia" w:ascii="宋体" w:hAnsi="宋体"/>
                <w:kern w:val="0"/>
                <w:sz w:val="21"/>
                <w:szCs w:val="21"/>
              </w:rPr>
              <w:t>③供水供电及仪器特殊要求（防震、防磁、超净、恒温、接地等）及落实情况：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151" w:type="dxa"/>
            <w:vMerge w:val="restart"/>
            <w:vAlign w:val="center"/>
          </w:tcPr>
          <w:p>
            <w:pPr>
              <w:spacing w:line="360" w:lineRule="exact"/>
              <w:ind w:left="120"/>
              <w:jc w:val="center"/>
              <w:rPr>
                <w:rFonts w:ascii="宋体" w:hAnsi="宋体"/>
                <w:sz w:val="21"/>
                <w:szCs w:val="21"/>
              </w:rPr>
            </w:pPr>
            <w:r>
              <w:rPr>
                <w:rFonts w:hint="eastAsia" w:ascii="宋体" w:hAnsi="宋体"/>
                <w:kern w:val="0"/>
                <w:sz w:val="21"/>
                <w:szCs w:val="21"/>
              </w:rPr>
              <w:t>调</w:t>
            </w:r>
          </w:p>
          <w:p>
            <w:pPr>
              <w:spacing w:line="360" w:lineRule="exact"/>
              <w:ind w:left="120"/>
              <w:jc w:val="center"/>
              <w:rPr>
                <w:rFonts w:ascii="宋体" w:hAnsi="宋体"/>
                <w:sz w:val="21"/>
                <w:szCs w:val="21"/>
              </w:rPr>
            </w:pPr>
          </w:p>
          <w:p>
            <w:pPr>
              <w:spacing w:line="360" w:lineRule="exact"/>
              <w:ind w:left="120"/>
              <w:jc w:val="center"/>
              <w:rPr>
                <w:rFonts w:ascii="宋体" w:hAnsi="宋体"/>
                <w:sz w:val="21"/>
                <w:szCs w:val="21"/>
              </w:rPr>
            </w:pPr>
            <w:r>
              <w:rPr>
                <w:rFonts w:hint="eastAsia" w:ascii="宋体" w:hAnsi="宋体"/>
                <w:kern w:val="0"/>
                <w:sz w:val="21"/>
                <w:szCs w:val="21"/>
              </w:rPr>
              <w:t>研</w:t>
            </w:r>
          </w:p>
          <w:p>
            <w:pPr>
              <w:spacing w:line="360" w:lineRule="exact"/>
              <w:ind w:left="120"/>
              <w:jc w:val="center"/>
              <w:rPr>
                <w:rFonts w:ascii="宋体" w:hAnsi="宋体"/>
                <w:sz w:val="21"/>
                <w:szCs w:val="21"/>
              </w:rPr>
            </w:pPr>
          </w:p>
          <w:p>
            <w:pPr>
              <w:spacing w:line="360" w:lineRule="exact"/>
              <w:ind w:left="120"/>
              <w:jc w:val="center"/>
              <w:rPr>
                <w:rFonts w:ascii="宋体" w:hAnsi="宋体"/>
                <w:sz w:val="21"/>
                <w:szCs w:val="21"/>
              </w:rPr>
            </w:pPr>
            <w:r>
              <w:rPr>
                <w:rFonts w:hint="eastAsia" w:ascii="宋体" w:hAnsi="宋体"/>
                <w:kern w:val="0"/>
                <w:sz w:val="21"/>
                <w:szCs w:val="21"/>
              </w:rPr>
              <w:t>情</w:t>
            </w:r>
          </w:p>
          <w:p>
            <w:pPr>
              <w:spacing w:line="360" w:lineRule="exact"/>
              <w:ind w:left="120"/>
              <w:jc w:val="center"/>
              <w:rPr>
                <w:rFonts w:ascii="宋体" w:hAnsi="宋体"/>
                <w:sz w:val="21"/>
                <w:szCs w:val="21"/>
              </w:rPr>
            </w:pPr>
          </w:p>
          <w:p>
            <w:pPr>
              <w:spacing w:line="360" w:lineRule="exact"/>
              <w:ind w:left="120"/>
              <w:jc w:val="center"/>
              <w:rPr>
                <w:rFonts w:ascii="宋体" w:hAnsi="宋体"/>
                <w:bCs/>
                <w:color w:val="000000"/>
                <w:sz w:val="21"/>
                <w:szCs w:val="21"/>
              </w:rPr>
            </w:pPr>
            <w:r>
              <w:rPr>
                <w:rFonts w:hint="eastAsia" w:ascii="宋体" w:hAnsi="宋体"/>
                <w:kern w:val="0"/>
                <w:sz w:val="21"/>
                <w:szCs w:val="21"/>
              </w:rPr>
              <w:t>况</w:t>
            </w:r>
          </w:p>
        </w:tc>
        <w:tc>
          <w:tcPr>
            <w:tcW w:w="7797" w:type="dxa"/>
            <w:gridSpan w:val="8"/>
          </w:tcPr>
          <w:p>
            <w:pPr>
              <w:spacing w:before="38" w:beforeLines="10" w:line="360" w:lineRule="exact"/>
              <w:ind w:left="119"/>
              <w:rPr>
                <w:rFonts w:ascii="宋体" w:hAnsi="宋体"/>
                <w:color w:val="000000"/>
                <w:sz w:val="24"/>
                <w:szCs w:val="24"/>
              </w:rPr>
            </w:pPr>
            <w:r>
              <w:rPr>
                <w:rFonts w:hint="eastAsia" w:ascii="宋体" w:hAnsi="宋体"/>
                <w:color w:val="000000"/>
                <w:w w:val="86"/>
                <w:kern w:val="0"/>
                <w:sz w:val="24"/>
                <w:szCs w:val="24"/>
              </w:rPr>
              <w:t>1.</w:t>
            </w:r>
            <w:r>
              <w:rPr>
                <w:rFonts w:hint="eastAsia" w:ascii="宋体" w:hAnsi="宋体"/>
                <w:w w:val="86"/>
                <w:kern w:val="0"/>
                <w:sz w:val="24"/>
                <w:szCs w:val="24"/>
              </w:rPr>
              <w:t xml:space="preserve"> 学校是否有同类设备、数量，如有需说明目前该设备的利用率及共享情况</w:t>
            </w:r>
            <w:r>
              <w:rPr>
                <w:rFonts w:hint="eastAsia" w:ascii="宋体" w:hAnsi="宋体"/>
                <w:spacing w:val="38"/>
                <w:w w:val="86"/>
                <w:kern w:val="0"/>
                <w:sz w:val="24"/>
                <w:szCs w:val="24"/>
              </w:rPr>
              <w:t>。</w:t>
            </w:r>
          </w:p>
          <w:p>
            <w:pPr>
              <w:spacing w:before="38" w:beforeLines="10" w:line="360" w:lineRule="exact"/>
              <w:ind w:left="119"/>
              <w:rPr>
                <w:rFonts w:ascii="宋体" w:hAnsi="宋体"/>
                <w:color w:val="000000"/>
                <w:sz w:val="21"/>
                <w:szCs w:val="21"/>
              </w:rPr>
            </w:pPr>
          </w:p>
          <w:p>
            <w:pPr>
              <w:spacing w:before="38" w:beforeLines="10" w:line="360" w:lineRule="exact"/>
              <w:ind w:left="119"/>
              <w:rPr>
                <w:rFonts w:ascii="宋体" w:hAnsi="宋体"/>
                <w:color w:val="000000"/>
                <w:sz w:val="21"/>
                <w:szCs w:val="21"/>
              </w:rPr>
            </w:pPr>
          </w:p>
          <w:p>
            <w:pPr>
              <w:spacing w:before="76" w:beforeLines="20"/>
              <w:ind w:left="119" w:firstLine="527" w:firstLineChars="250"/>
              <w:rPr>
                <w:rFonts w:ascii="宋体" w:hAnsi="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8" w:hRule="atLeast"/>
          <w:jc w:val="center"/>
        </w:trPr>
        <w:tc>
          <w:tcPr>
            <w:tcW w:w="1151" w:type="dxa"/>
            <w:vMerge w:val="continue"/>
            <w:vAlign w:val="center"/>
          </w:tcPr>
          <w:p>
            <w:pPr>
              <w:spacing w:line="360" w:lineRule="exact"/>
              <w:ind w:left="120"/>
              <w:jc w:val="center"/>
              <w:rPr>
                <w:rFonts w:ascii="宋体" w:hAnsi="宋体"/>
                <w:sz w:val="21"/>
                <w:szCs w:val="21"/>
              </w:rPr>
            </w:pPr>
          </w:p>
        </w:tc>
        <w:tc>
          <w:tcPr>
            <w:tcW w:w="7797" w:type="dxa"/>
            <w:gridSpan w:val="8"/>
          </w:tcPr>
          <w:p>
            <w:pPr>
              <w:spacing w:before="38" w:beforeLines="10" w:line="360" w:lineRule="exact"/>
              <w:ind w:left="119"/>
              <w:rPr>
                <w:rFonts w:ascii="宋体" w:hAnsi="宋体"/>
                <w:color w:val="000000"/>
                <w:sz w:val="21"/>
                <w:szCs w:val="21"/>
              </w:rPr>
            </w:pPr>
            <w:r>
              <w:rPr>
                <w:rFonts w:hint="eastAsia" w:ascii="宋体" w:hAnsi="宋体"/>
                <w:color w:val="000000"/>
                <w:kern w:val="0"/>
                <w:sz w:val="21"/>
                <w:szCs w:val="21"/>
              </w:rPr>
              <w:t>2.同类高校使用该设备情况及其评价：</w:t>
            </w:r>
          </w:p>
          <w:p>
            <w:pPr>
              <w:spacing w:before="76" w:beforeLines="20"/>
              <w:ind w:left="119"/>
              <w:rPr>
                <w:rFonts w:ascii="宋体" w:hAnsi="宋体"/>
                <w:sz w:val="21"/>
                <w:szCs w:val="21"/>
              </w:rPr>
            </w:pPr>
            <w:r>
              <w:rPr>
                <w:rFonts w:hint="eastAsia" w:ascii="宋体" w:hAnsi="宋体"/>
                <w:kern w:val="0"/>
                <w:sz w:val="21"/>
                <w:szCs w:val="21"/>
              </w:rPr>
              <w:t>（1）学校：</w:t>
            </w:r>
            <w:r>
              <w:rPr>
                <w:rFonts w:hint="eastAsia" w:ascii="宋体" w:hAnsi="宋体"/>
                <w:kern w:val="0"/>
                <w:sz w:val="21"/>
                <w:szCs w:val="21"/>
                <w:u w:val="single"/>
              </w:rPr>
              <w:t xml:space="preserve">                </w:t>
            </w:r>
            <w:r>
              <w:rPr>
                <w:rFonts w:hint="eastAsia" w:ascii="宋体" w:hAnsi="宋体"/>
                <w:kern w:val="0"/>
                <w:sz w:val="21"/>
                <w:szCs w:val="21"/>
              </w:rPr>
              <w:t xml:space="preserve"> 规格：</w:t>
            </w:r>
            <w:r>
              <w:rPr>
                <w:rFonts w:hint="eastAsia" w:ascii="宋体" w:hAnsi="宋体"/>
                <w:kern w:val="0"/>
                <w:sz w:val="21"/>
                <w:szCs w:val="21"/>
                <w:u w:val="single"/>
              </w:rPr>
              <w:t xml:space="preserve">          </w:t>
            </w:r>
            <w:r>
              <w:rPr>
                <w:rFonts w:hint="eastAsia" w:ascii="宋体" w:hAnsi="宋体"/>
                <w:kern w:val="0"/>
                <w:sz w:val="21"/>
                <w:szCs w:val="21"/>
              </w:rPr>
              <w:t>价格：</w:t>
            </w:r>
            <w:r>
              <w:rPr>
                <w:rFonts w:hint="eastAsia" w:ascii="宋体" w:hAnsi="宋体"/>
                <w:kern w:val="0"/>
                <w:sz w:val="21"/>
                <w:szCs w:val="21"/>
                <w:u w:val="single"/>
              </w:rPr>
              <w:t xml:space="preserve">       </w:t>
            </w:r>
            <w:r>
              <w:rPr>
                <w:rFonts w:hint="eastAsia" w:ascii="宋体" w:hAnsi="宋体"/>
                <w:kern w:val="0"/>
                <w:sz w:val="21"/>
                <w:szCs w:val="21"/>
              </w:rPr>
              <w:t xml:space="preserve"> 购置时间：</w:t>
            </w:r>
            <w:r>
              <w:rPr>
                <w:rFonts w:hint="eastAsia" w:ascii="宋体" w:hAnsi="宋体"/>
                <w:kern w:val="0"/>
                <w:sz w:val="21"/>
                <w:szCs w:val="21"/>
                <w:u w:val="single"/>
              </w:rPr>
              <w:t xml:space="preserve">       </w:t>
            </w:r>
            <w:r>
              <w:rPr>
                <w:rFonts w:hint="eastAsia" w:ascii="宋体" w:hAnsi="宋体"/>
                <w:kern w:val="0"/>
                <w:sz w:val="21"/>
                <w:szCs w:val="21"/>
              </w:rPr>
              <w:t xml:space="preserve"> </w:t>
            </w:r>
          </w:p>
          <w:p>
            <w:pPr>
              <w:spacing w:before="76" w:beforeLines="20"/>
              <w:ind w:left="119" w:firstLine="525" w:firstLineChars="250"/>
              <w:rPr>
                <w:rFonts w:ascii="宋体" w:hAnsi="宋体"/>
                <w:sz w:val="21"/>
                <w:szCs w:val="21"/>
              </w:rPr>
            </w:pPr>
            <w:r>
              <w:rPr>
                <w:rFonts w:hint="eastAsia" w:ascii="宋体" w:hAnsi="宋体"/>
                <w:kern w:val="0"/>
                <w:sz w:val="21"/>
                <w:szCs w:val="21"/>
              </w:rPr>
              <w:t>使用情况：</w:t>
            </w:r>
            <w:r>
              <w:rPr>
                <w:rFonts w:hint="eastAsia" w:ascii="宋体" w:hAnsi="宋体"/>
                <w:kern w:val="0"/>
                <w:sz w:val="21"/>
                <w:szCs w:val="21"/>
                <w:u w:val="single"/>
              </w:rPr>
              <w:t xml:space="preserve">                                                            </w:t>
            </w:r>
          </w:p>
          <w:p>
            <w:pPr>
              <w:spacing w:before="76" w:beforeLines="20"/>
              <w:ind w:left="119"/>
              <w:rPr>
                <w:rFonts w:ascii="宋体" w:hAnsi="宋体"/>
                <w:sz w:val="21"/>
                <w:szCs w:val="21"/>
              </w:rPr>
            </w:pPr>
            <w:r>
              <w:rPr>
                <w:rFonts w:hint="eastAsia" w:ascii="宋体" w:hAnsi="宋体"/>
                <w:kern w:val="0"/>
                <w:sz w:val="21"/>
                <w:szCs w:val="21"/>
              </w:rPr>
              <w:t>（2）学校：</w:t>
            </w:r>
            <w:r>
              <w:rPr>
                <w:rFonts w:hint="eastAsia" w:ascii="宋体" w:hAnsi="宋体"/>
                <w:kern w:val="0"/>
                <w:sz w:val="21"/>
                <w:szCs w:val="21"/>
                <w:u w:val="single"/>
              </w:rPr>
              <w:t xml:space="preserve">                 </w:t>
            </w:r>
            <w:r>
              <w:rPr>
                <w:rFonts w:hint="eastAsia" w:ascii="宋体" w:hAnsi="宋体"/>
                <w:kern w:val="0"/>
                <w:sz w:val="21"/>
                <w:szCs w:val="21"/>
              </w:rPr>
              <w:t xml:space="preserve"> 规格：</w:t>
            </w:r>
            <w:r>
              <w:rPr>
                <w:rFonts w:hint="eastAsia" w:ascii="宋体" w:hAnsi="宋体"/>
                <w:kern w:val="0"/>
                <w:sz w:val="21"/>
                <w:szCs w:val="21"/>
                <w:u w:val="single"/>
              </w:rPr>
              <w:t xml:space="preserve">         </w:t>
            </w:r>
            <w:r>
              <w:rPr>
                <w:rFonts w:hint="eastAsia" w:ascii="宋体" w:hAnsi="宋体"/>
                <w:kern w:val="0"/>
                <w:sz w:val="21"/>
                <w:szCs w:val="21"/>
              </w:rPr>
              <w:t>价格：</w:t>
            </w:r>
            <w:r>
              <w:rPr>
                <w:rFonts w:hint="eastAsia" w:ascii="宋体" w:hAnsi="宋体"/>
                <w:kern w:val="0"/>
                <w:sz w:val="21"/>
                <w:szCs w:val="21"/>
                <w:u w:val="single"/>
              </w:rPr>
              <w:t xml:space="preserve">       </w:t>
            </w:r>
            <w:r>
              <w:rPr>
                <w:rFonts w:hint="eastAsia" w:ascii="宋体" w:hAnsi="宋体"/>
                <w:kern w:val="0"/>
                <w:sz w:val="21"/>
                <w:szCs w:val="21"/>
              </w:rPr>
              <w:t xml:space="preserve"> 购置时间：</w:t>
            </w:r>
            <w:r>
              <w:rPr>
                <w:rFonts w:hint="eastAsia" w:ascii="宋体" w:hAnsi="宋体"/>
                <w:kern w:val="0"/>
                <w:sz w:val="21"/>
                <w:szCs w:val="21"/>
                <w:u w:val="single"/>
              </w:rPr>
              <w:t xml:space="preserve">       </w:t>
            </w:r>
            <w:r>
              <w:rPr>
                <w:rFonts w:hint="eastAsia" w:ascii="宋体" w:hAnsi="宋体"/>
                <w:kern w:val="0"/>
                <w:sz w:val="21"/>
                <w:szCs w:val="21"/>
              </w:rPr>
              <w:t xml:space="preserve"> </w:t>
            </w:r>
          </w:p>
          <w:p>
            <w:pPr>
              <w:spacing w:before="76" w:beforeLines="20"/>
              <w:ind w:left="119" w:firstLine="525" w:firstLineChars="250"/>
              <w:rPr>
                <w:rFonts w:ascii="宋体" w:hAnsi="宋体"/>
                <w:sz w:val="21"/>
                <w:szCs w:val="21"/>
              </w:rPr>
            </w:pPr>
            <w:r>
              <w:rPr>
                <w:rFonts w:hint="eastAsia" w:ascii="宋体" w:hAnsi="宋体"/>
                <w:kern w:val="0"/>
                <w:sz w:val="21"/>
                <w:szCs w:val="21"/>
              </w:rPr>
              <w:t>使用情况：</w:t>
            </w:r>
            <w:r>
              <w:rPr>
                <w:rFonts w:hint="eastAsia" w:ascii="宋体" w:hAnsi="宋体"/>
                <w:kern w:val="0"/>
                <w:sz w:val="21"/>
                <w:szCs w:val="21"/>
                <w:u w:val="single"/>
              </w:rPr>
              <w:t xml:space="preserve">                                                            </w:t>
            </w:r>
          </w:p>
          <w:p>
            <w:pPr>
              <w:spacing w:before="76" w:beforeLines="20"/>
              <w:ind w:left="119"/>
              <w:rPr>
                <w:rFonts w:ascii="宋体" w:hAnsi="宋体"/>
                <w:sz w:val="21"/>
                <w:szCs w:val="21"/>
              </w:rPr>
            </w:pPr>
            <w:r>
              <w:rPr>
                <w:rFonts w:hint="eastAsia" w:ascii="宋体" w:hAnsi="宋体"/>
                <w:kern w:val="0"/>
                <w:sz w:val="21"/>
                <w:szCs w:val="21"/>
              </w:rPr>
              <w:t>（3）学校：</w:t>
            </w:r>
            <w:r>
              <w:rPr>
                <w:rFonts w:hint="eastAsia" w:ascii="宋体" w:hAnsi="宋体"/>
                <w:kern w:val="0"/>
                <w:sz w:val="21"/>
                <w:szCs w:val="21"/>
                <w:u w:val="single"/>
              </w:rPr>
              <w:t xml:space="preserve">                 </w:t>
            </w:r>
            <w:r>
              <w:rPr>
                <w:rFonts w:hint="eastAsia" w:ascii="宋体" w:hAnsi="宋体"/>
                <w:kern w:val="0"/>
                <w:sz w:val="21"/>
                <w:szCs w:val="21"/>
              </w:rPr>
              <w:t xml:space="preserve"> 规格：</w:t>
            </w:r>
            <w:r>
              <w:rPr>
                <w:rFonts w:hint="eastAsia" w:ascii="宋体" w:hAnsi="宋体"/>
                <w:kern w:val="0"/>
                <w:sz w:val="21"/>
                <w:szCs w:val="21"/>
                <w:u w:val="single"/>
              </w:rPr>
              <w:t xml:space="preserve">         </w:t>
            </w:r>
            <w:r>
              <w:rPr>
                <w:rFonts w:hint="eastAsia" w:ascii="宋体" w:hAnsi="宋体"/>
                <w:kern w:val="0"/>
                <w:sz w:val="21"/>
                <w:szCs w:val="21"/>
              </w:rPr>
              <w:t>价格：</w:t>
            </w:r>
            <w:r>
              <w:rPr>
                <w:rFonts w:hint="eastAsia" w:ascii="宋体" w:hAnsi="宋体"/>
                <w:kern w:val="0"/>
                <w:sz w:val="21"/>
                <w:szCs w:val="21"/>
                <w:u w:val="single"/>
              </w:rPr>
              <w:t xml:space="preserve">       </w:t>
            </w:r>
            <w:r>
              <w:rPr>
                <w:rFonts w:hint="eastAsia" w:ascii="宋体" w:hAnsi="宋体"/>
                <w:kern w:val="0"/>
                <w:sz w:val="21"/>
                <w:szCs w:val="21"/>
              </w:rPr>
              <w:t xml:space="preserve"> 购置时间：</w:t>
            </w:r>
            <w:r>
              <w:rPr>
                <w:rFonts w:hint="eastAsia" w:ascii="宋体" w:hAnsi="宋体"/>
                <w:kern w:val="0"/>
                <w:sz w:val="21"/>
                <w:szCs w:val="21"/>
                <w:u w:val="single"/>
              </w:rPr>
              <w:t xml:space="preserve">       </w:t>
            </w:r>
            <w:r>
              <w:rPr>
                <w:rFonts w:hint="eastAsia" w:ascii="宋体" w:hAnsi="宋体"/>
                <w:kern w:val="0"/>
                <w:sz w:val="21"/>
                <w:szCs w:val="21"/>
              </w:rPr>
              <w:t xml:space="preserve"> </w:t>
            </w:r>
          </w:p>
          <w:p>
            <w:pPr>
              <w:spacing w:before="76" w:beforeLines="20"/>
              <w:ind w:left="119" w:firstLine="525" w:firstLineChars="250"/>
              <w:rPr>
                <w:rFonts w:ascii="宋体" w:hAnsi="宋体"/>
                <w:sz w:val="21"/>
                <w:szCs w:val="21"/>
              </w:rPr>
            </w:pPr>
            <w:r>
              <w:rPr>
                <w:rFonts w:hint="eastAsia" w:ascii="宋体" w:hAnsi="宋体"/>
                <w:kern w:val="0"/>
                <w:sz w:val="21"/>
                <w:szCs w:val="21"/>
              </w:rPr>
              <w:t>使用情况：</w:t>
            </w:r>
            <w:r>
              <w:rPr>
                <w:rFonts w:hint="eastAsia" w:ascii="宋体" w:hAnsi="宋体"/>
                <w:kern w:val="0"/>
                <w:sz w:val="21"/>
                <w:szCs w:val="21"/>
                <w:u w:val="single"/>
              </w:rPr>
              <w:t xml:space="preserve">                                                            </w:t>
            </w:r>
          </w:p>
          <w:p>
            <w:pPr>
              <w:spacing w:before="76" w:beforeLines="20"/>
              <w:ind w:left="119" w:firstLine="525" w:firstLineChars="250"/>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5" w:hRule="atLeast"/>
          <w:jc w:val="center"/>
        </w:trPr>
        <w:tc>
          <w:tcPr>
            <w:tcW w:w="1151" w:type="dxa"/>
            <w:vMerge w:val="continue"/>
            <w:vAlign w:val="center"/>
          </w:tcPr>
          <w:p>
            <w:pPr>
              <w:spacing w:line="360" w:lineRule="exact"/>
              <w:ind w:left="120"/>
              <w:jc w:val="center"/>
              <w:rPr>
                <w:rFonts w:ascii="宋体" w:hAnsi="宋体"/>
                <w:bCs/>
                <w:sz w:val="21"/>
                <w:szCs w:val="21"/>
              </w:rPr>
            </w:pPr>
          </w:p>
        </w:tc>
        <w:tc>
          <w:tcPr>
            <w:tcW w:w="7797" w:type="dxa"/>
            <w:gridSpan w:val="8"/>
          </w:tcPr>
          <w:p>
            <w:pPr>
              <w:spacing w:before="76" w:beforeLines="20"/>
              <w:ind w:left="119"/>
              <w:rPr>
                <w:rFonts w:ascii="宋体" w:hAnsi="宋体"/>
                <w:sz w:val="21"/>
                <w:szCs w:val="21"/>
                <w:u w:val="single"/>
              </w:rPr>
            </w:pPr>
            <w:r>
              <w:rPr>
                <w:rFonts w:hint="eastAsia" w:ascii="宋体" w:hAnsi="宋体"/>
                <w:sz w:val="21"/>
                <w:szCs w:val="21"/>
              </w:rPr>
              <w:t>3.可供货厂商及相关情况（要求货比三家，内容包括仪器型号、性能、特色、附件情况、基本配置报价、附件价格、初步优惠折扣、售后服务承诺、应用支持等）。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3" w:hRule="atLeast"/>
          <w:jc w:val="center"/>
        </w:trPr>
        <w:tc>
          <w:tcPr>
            <w:tcW w:w="1151" w:type="dxa"/>
          </w:tcPr>
          <w:p>
            <w:pPr>
              <w:spacing w:line="360" w:lineRule="exact"/>
              <w:ind w:left="120" w:leftChars="43" w:firstLine="105" w:firstLineChars="50"/>
              <w:rPr>
                <w:rFonts w:ascii="宋体" w:hAnsi="宋体"/>
                <w:sz w:val="21"/>
                <w:szCs w:val="21"/>
              </w:rPr>
            </w:pPr>
          </w:p>
          <w:p>
            <w:pPr>
              <w:spacing w:line="360" w:lineRule="exact"/>
              <w:ind w:left="120" w:leftChars="43" w:firstLine="165" w:firstLineChars="50"/>
              <w:rPr>
                <w:rFonts w:ascii="宋体" w:hAnsi="宋体"/>
                <w:sz w:val="21"/>
                <w:szCs w:val="21"/>
              </w:rPr>
            </w:pPr>
            <w:r>
              <w:rPr>
                <w:rFonts w:hint="eastAsia" w:ascii="宋体" w:hAnsi="宋体"/>
                <w:spacing w:val="60"/>
                <w:kern w:val="0"/>
                <w:sz w:val="21"/>
                <w:szCs w:val="21"/>
              </w:rPr>
              <w:t>仪</w:t>
            </w:r>
            <w:r>
              <w:rPr>
                <w:rFonts w:hint="eastAsia" w:ascii="宋体" w:hAnsi="宋体"/>
                <w:spacing w:val="-30"/>
                <w:kern w:val="0"/>
                <w:sz w:val="21"/>
                <w:szCs w:val="21"/>
              </w:rPr>
              <w:t>器</w:t>
            </w:r>
          </w:p>
          <w:p>
            <w:pPr>
              <w:spacing w:line="360" w:lineRule="exact"/>
              <w:ind w:left="120" w:leftChars="43" w:firstLine="165" w:firstLineChars="50"/>
              <w:rPr>
                <w:rFonts w:ascii="宋体" w:hAnsi="宋体"/>
                <w:sz w:val="21"/>
                <w:szCs w:val="21"/>
              </w:rPr>
            </w:pPr>
            <w:r>
              <w:rPr>
                <w:rFonts w:hint="eastAsia" w:ascii="宋体" w:hAnsi="宋体"/>
                <w:spacing w:val="60"/>
                <w:kern w:val="0"/>
                <w:sz w:val="21"/>
                <w:szCs w:val="21"/>
              </w:rPr>
              <w:t>设</w:t>
            </w:r>
            <w:r>
              <w:rPr>
                <w:rFonts w:hint="eastAsia" w:ascii="宋体" w:hAnsi="宋体"/>
                <w:spacing w:val="-30"/>
                <w:kern w:val="0"/>
                <w:sz w:val="21"/>
                <w:szCs w:val="21"/>
              </w:rPr>
              <w:t>备</w:t>
            </w:r>
          </w:p>
          <w:p>
            <w:pPr>
              <w:spacing w:line="360" w:lineRule="exact"/>
              <w:ind w:left="120" w:leftChars="43" w:firstLine="165" w:firstLineChars="50"/>
              <w:rPr>
                <w:rFonts w:ascii="宋体" w:hAnsi="宋体"/>
                <w:sz w:val="21"/>
                <w:szCs w:val="21"/>
              </w:rPr>
            </w:pPr>
            <w:r>
              <w:rPr>
                <w:rFonts w:hint="eastAsia" w:ascii="宋体" w:hAnsi="宋体"/>
                <w:spacing w:val="60"/>
                <w:kern w:val="0"/>
                <w:sz w:val="21"/>
                <w:szCs w:val="21"/>
              </w:rPr>
              <w:t>使</w:t>
            </w:r>
            <w:r>
              <w:rPr>
                <w:rFonts w:hint="eastAsia" w:ascii="宋体" w:hAnsi="宋体"/>
                <w:spacing w:val="-30"/>
                <w:kern w:val="0"/>
                <w:sz w:val="21"/>
                <w:szCs w:val="21"/>
              </w:rPr>
              <w:t>用</w:t>
            </w:r>
          </w:p>
          <w:p>
            <w:pPr>
              <w:spacing w:line="360" w:lineRule="exact"/>
              <w:ind w:left="120" w:leftChars="43" w:firstLine="165" w:firstLineChars="50"/>
              <w:rPr>
                <w:rFonts w:ascii="宋体" w:hAnsi="宋体"/>
                <w:sz w:val="21"/>
                <w:szCs w:val="21"/>
              </w:rPr>
            </w:pPr>
            <w:r>
              <w:rPr>
                <w:rFonts w:hint="eastAsia" w:ascii="宋体" w:hAnsi="宋体"/>
                <w:spacing w:val="60"/>
                <w:kern w:val="0"/>
                <w:sz w:val="21"/>
                <w:szCs w:val="21"/>
              </w:rPr>
              <w:t>效</w:t>
            </w:r>
            <w:r>
              <w:rPr>
                <w:rFonts w:hint="eastAsia" w:ascii="宋体" w:hAnsi="宋体"/>
                <w:spacing w:val="-30"/>
                <w:kern w:val="0"/>
                <w:sz w:val="21"/>
                <w:szCs w:val="21"/>
              </w:rPr>
              <w:t>益</w:t>
            </w:r>
          </w:p>
          <w:p>
            <w:pPr>
              <w:spacing w:line="360" w:lineRule="exact"/>
              <w:ind w:left="120" w:leftChars="43" w:firstLine="165" w:firstLineChars="50"/>
              <w:rPr>
                <w:rFonts w:ascii="宋体" w:hAnsi="宋体"/>
                <w:sz w:val="21"/>
                <w:szCs w:val="21"/>
              </w:rPr>
            </w:pPr>
            <w:r>
              <w:rPr>
                <w:rFonts w:hint="eastAsia" w:ascii="宋体" w:hAnsi="宋体"/>
                <w:spacing w:val="60"/>
                <w:kern w:val="0"/>
                <w:sz w:val="21"/>
                <w:szCs w:val="21"/>
              </w:rPr>
              <w:t>分</w:t>
            </w:r>
            <w:r>
              <w:rPr>
                <w:rFonts w:hint="eastAsia" w:ascii="宋体" w:hAnsi="宋体"/>
                <w:spacing w:val="-30"/>
                <w:kern w:val="0"/>
                <w:sz w:val="21"/>
                <w:szCs w:val="21"/>
              </w:rPr>
              <w:t>析</w:t>
            </w:r>
          </w:p>
        </w:tc>
        <w:tc>
          <w:tcPr>
            <w:tcW w:w="7797" w:type="dxa"/>
            <w:gridSpan w:val="8"/>
          </w:tcPr>
          <w:p>
            <w:pPr>
              <w:numPr>
                <w:ilvl w:val="0"/>
                <w:numId w:val="8"/>
              </w:numPr>
              <w:spacing w:before="38" w:beforeLines="10" w:line="360" w:lineRule="exact"/>
              <w:rPr>
                <w:rFonts w:ascii="宋体" w:hAnsi="宋体"/>
                <w:color w:val="000000"/>
                <w:sz w:val="21"/>
                <w:szCs w:val="21"/>
              </w:rPr>
            </w:pPr>
            <w:r>
              <w:rPr>
                <w:rFonts w:hint="eastAsia" w:ascii="宋体" w:hAnsi="宋体"/>
                <w:color w:val="000000"/>
                <w:kern w:val="0"/>
                <w:sz w:val="21"/>
                <w:szCs w:val="21"/>
              </w:rPr>
              <w:t>教学（包括实验名称、学时、组数、学时人数、总学时数/年 等）</w:t>
            </w:r>
          </w:p>
          <w:p>
            <w:pPr>
              <w:spacing w:before="38" w:beforeLines="10" w:line="360" w:lineRule="exact"/>
              <w:ind w:left="450"/>
              <w:rPr>
                <w:rFonts w:ascii="宋体" w:hAnsi="宋体"/>
                <w:color w:val="000000"/>
                <w:sz w:val="21"/>
                <w:szCs w:val="21"/>
              </w:rPr>
            </w:pPr>
          </w:p>
          <w:p>
            <w:pPr>
              <w:spacing w:before="38" w:beforeLines="10" w:line="360" w:lineRule="exact"/>
              <w:ind w:left="450"/>
              <w:rPr>
                <w:rFonts w:ascii="宋体" w:hAnsi="宋体"/>
                <w:color w:val="000000"/>
                <w:sz w:val="21"/>
                <w:szCs w:val="21"/>
              </w:rPr>
            </w:pPr>
          </w:p>
          <w:p>
            <w:pPr>
              <w:numPr>
                <w:ilvl w:val="0"/>
                <w:numId w:val="8"/>
              </w:numPr>
              <w:spacing w:before="38" w:beforeLines="10" w:line="360" w:lineRule="exact"/>
              <w:rPr>
                <w:rFonts w:ascii="宋体" w:hAnsi="宋体"/>
                <w:color w:val="000000"/>
                <w:sz w:val="21"/>
                <w:szCs w:val="21"/>
              </w:rPr>
            </w:pPr>
            <w:r>
              <w:rPr>
                <w:rFonts w:hint="eastAsia" w:ascii="宋体" w:hAnsi="宋体"/>
                <w:color w:val="000000"/>
                <w:kern w:val="0"/>
                <w:sz w:val="21"/>
                <w:szCs w:val="21"/>
              </w:rPr>
              <w:t>科研（包括时数、样品数、总机时数/年 等）</w:t>
            </w:r>
          </w:p>
          <w:p>
            <w:pPr>
              <w:pStyle w:val="22"/>
              <w:rPr>
                <w:rFonts w:ascii="宋体" w:hAnsi="宋体"/>
                <w:color w:val="000000"/>
                <w:sz w:val="21"/>
                <w:szCs w:val="21"/>
              </w:rPr>
            </w:pPr>
          </w:p>
          <w:p>
            <w:pPr>
              <w:spacing w:before="38" w:beforeLines="10" w:line="360" w:lineRule="exact"/>
              <w:ind w:left="450"/>
              <w:rPr>
                <w:rFonts w:ascii="宋体" w:hAnsi="宋体"/>
                <w:color w:val="000000"/>
                <w:sz w:val="21"/>
                <w:szCs w:val="21"/>
              </w:rPr>
            </w:pPr>
          </w:p>
          <w:p>
            <w:pPr>
              <w:numPr>
                <w:ilvl w:val="0"/>
                <w:numId w:val="8"/>
              </w:numPr>
              <w:spacing w:before="38" w:beforeLines="10" w:line="360" w:lineRule="exact"/>
              <w:rPr>
                <w:rFonts w:ascii="宋体" w:hAnsi="宋体"/>
                <w:color w:val="000000"/>
                <w:sz w:val="21"/>
                <w:szCs w:val="21"/>
              </w:rPr>
            </w:pPr>
            <w:r>
              <w:rPr>
                <w:rFonts w:hint="eastAsia" w:ascii="宋体" w:hAnsi="宋体"/>
                <w:color w:val="000000"/>
                <w:kern w:val="0"/>
                <w:sz w:val="21"/>
                <w:szCs w:val="21"/>
              </w:rPr>
              <w:t>经济等其他效益</w:t>
            </w:r>
          </w:p>
          <w:p>
            <w:pPr>
              <w:spacing w:before="76" w:beforeLines="20"/>
              <w:rPr>
                <w:rFonts w:ascii="宋体" w:hAnsi="宋体"/>
                <w:bCs/>
                <w:sz w:val="21"/>
                <w:szCs w:val="21"/>
              </w:rPr>
            </w:pPr>
          </w:p>
          <w:p>
            <w:pPr>
              <w:spacing w:before="76" w:beforeLines="20"/>
              <w:rPr>
                <w:rFonts w:ascii="宋体" w:hAnsi="宋体"/>
                <w:bCs/>
                <w:sz w:val="21"/>
                <w:szCs w:val="21"/>
              </w:rPr>
            </w:pPr>
          </w:p>
          <w:p>
            <w:pPr>
              <w:spacing w:before="76" w:beforeLines="20"/>
              <w:rPr>
                <w:rFonts w:ascii="宋体" w:hAnsi="宋体"/>
                <w:bCs/>
                <w:sz w:val="21"/>
                <w:szCs w:val="21"/>
              </w:rPr>
            </w:pPr>
          </w:p>
          <w:p>
            <w:pPr>
              <w:spacing w:before="76" w:beforeLines="20"/>
              <w:rPr>
                <w:rFonts w:ascii="宋体" w:hAnsi="宋体"/>
                <w:bCs/>
                <w:sz w:val="21"/>
                <w:szCs w:val="21"/>
              </w:rPr>
            </w:pPr>
          </w:p>
          <w:p>
            <w:pPr>
              <w:spacing w:before="76" w:beforeLines="20"/>
              <w:rPr>
                <w:rFonts w:ascii="宋体" w:hAnsi="宋体"/>
                <w:bCs/>
                <w:sz w:val="21"/>
                <w:szCs w:val="21"/>
              </w:rP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13" w:hRule="atLeast"/>
          <w:jc w:val="center"/>
        </w:trPr>
        <w:tc>
          <w:tcPr>
            <w:tcW w:w="1151" w:type="dxa"/>
            <w:vMerge w:val="restart"/>
            <w:tcBorders>
              <w:top w:val="single" w:color="auto" w:sz="4" w:space="0"/>
              <w:right w:val="single" w:color="auto" w:sz="4" w:space="0"/>
            </w:tcBorders>
            <w:vAlign w:val="center"/>
          </w:tcPr>
          <w:p>
            <w:pPr>
              <w:spacing w:line="360" w:lineRule="exact"/>
              <w:jc w:val="center"/>
              <w:rPr>
                <w:rFonts w:ascii="宋体" w:hAnsi="宋体"/>
                <w:bCs/>
                <w:sz w:val="21"/>
                <w:szCs w:val="21"/>
              </w:rPr>
            </w:pPr>
            <w:r>
              <w:rPr>
                <w:rFonts w:hint="eastAsia" w:ascii="宋体" w:hAnsi="宋体"/>
                <w:bCs/>
                <w:kern w:val="0"/>
                <w:sz w:val="21"/>
                <w:szCs w:val="21"/>
              </w:rPr>
              <w:t>专</w:t>
            </w:r>
          </w:p>
          <w:p>
            <w:pPr>
              <w:spacing w:line="360" w:lineRule="exact"/>
              <w:jc w:val="center"/>
              <w:rPr>
                <w:rFonts w:ascii="宋体" w:hAnsi="宋体"/>
                <w:bCs/>
                <w:sz w:val="21"/>
                <w:szCs w:val="21"/>
              </w:rPr>
            </w:pPr>
            <w:r>
              <w:rPr>
                <w:rFonts w:hint="eastAsia" w:ascii="宋体" w:hAnsi="宋体"/>
                <w:bCs/>
                <w:kern w:val="0"/>
                <w:sz w:val="21"/>
                <w:szCs w:val="21"/>
              </w:rPr>
              <w:t>家</w:t>
            </w:r>
          </w:p>
          <w:p>
            <w:pPr>
              <w:spacing w:line="360" w:lineRule="exact"/>
              <w:jc w:val="center"/>
              <w:rPr>
                <w:rFonts w:ascii="宋体" w:hAnsi="宋体"/>
                <w:bCs/>
                <w:sz w:val="21"/>
                <w:szCs w:val="21"/>
              </w:rPr>
            </w:pPr>
            <w:r>
              <w:rPr>
                <w:rFonts w:hint="eastAsia" w:ascii="宋体" w:hAnsi="宋体"/>
                <w:bCs/>
                <w:kern w:val="0"/>
                <w:sz w:val="21"/>
                <w:szCs w:val="21"/>
              </w:rPr>
              <w:t>组</w:t>
            </w:r>
          </w:p>
          <w:p>
            <w:pPr>
              <w:spacing w:line="360" w:lineRule="exact"/>
              <w:jc w:val="center"/>
              <w:rPr>
                <w:rFonts w:ascii="宋体" w:hAnsi="宋体"/>
                <w:bCs/>
                <w:sz w:val="21"/>
                <w:szCs w:val="21"/>
              </w:rPr>
            </w:pPr>
            <w:r>
              <w:rPr>
                <w:rFonts w:hint="eastAsia" w:ascii="宋体" w:hAnsi="宋体"/>
                <w:bCs/>
                <w:kern w:val="0"/>
                <w:sz w:val="21"/>
                <w:szCs w:val="21"/>
              </w:rPr>
              <w:t>论</w:t>
            </w:r>
          </w:p>
          <w:p>
            <w:pPr>
              <w:spacing w:line="360" w:lineRule="exact"/>
              <w:jc w:val="center"/>
              <w:rPr>
                <w:rFonts w:ascii="宋体" w:hAnsi="宋体"/>
                <w:bCs/>
                <w:sz w:val="21"/>
                <w:szCs w:val="21"/>
              </w:rPr>
            </w:pPr>
            <w:r>
              <w:rPr>
                <w:rFonts w:hint="eastAsia" w:ascii="宋体" w:hAnsi="宋体"/>
                <w:bCs/>
                <w:kern w:val="0"/>
                <w:sz w:val="21"/>
                <w:szCs w:val="21"/>
              </w:rPr>
              <w:t>证</w:t>
            </w:r>
          </w:p>
          <w:p>
            <w:pPr>
              <w:spacing w:line="360" w:lineRule="exact"/>
              <w:jc w:val="center"/>
              <w:rPr>
                <w:rFonts w:ascii="宋体" w:hAnsi="宋体"/>
                <w:bCs/>
                <w:sz w:val="21"/>
                <w:szCs w:val="21"/>
              </w:rPr>
            </w:pPr>
            <w:r>
              <w:rPr>
                <w:rFonts w:hint="eastAsia" w:ascii="宋体" w:hAnsi="宋体"/>
                <w:bCs/>
                <w:kern w:val="0"/>
                <w:sz w:val="21"/>
                <w:szCs w:val="21"/>
              </w:rPr>
              <w:t>意</w:t>
            </w:r>
          </w:p>
          <w:p>
            <w:pPr>
              <w:spacing w:line="360" w:lineRule="exact"/>
              <w:jc w:val="center"/>
              <w:rPr>
                <w:rFonts w:ascii="宋体" w:hAnsi="宋体"/>
                <w:b/>
                <w:bCs/>
                <w:sz w:val="21"/>
                <w:szCs w:val="21"/>
              </w:rPr>
            </w:pPr>
            <w:r>
              <w:rPr>
                <w:rFonts w:hint="eastAsia" w:ascii="宋体" w:hAnsi="宋体"/>
                <w:bCs/>
                <w:kern w:val="0"/>
                <w:sz w:val="21"/>
                <w:szCs w:val="21"/>
              </w:rPr>
              <w:t>见</w:t>
            </w:r>
          </w:p>
        </w:tc>
        <w:tc>
          <w:tcPr>
            <w:tcW w:w="7797" w:type="dxa"/>
            <w:gridSpan w:val="8"/>
            <w:tcBorders>
              <w:top w:val="single" w:color="auto" w:sz="4" w:space="0"/>
              <w:left w:val="single" w:color="auto" w:sz="4" w:space="0"/>
              <w:bottom w:val="single" w:color="auto" w:sz="4" w:space="0"/>
            </w:tcBorders>
            <w:vAlign w:val="center"/>
          </w:tcPr>
          <w:p>
            <w:pPr>
              <w:spacing w:line="360" w:lineRule="exact"/>
              <w:rPr>
                <w:rFonts w:ascii="宋体" w:hAnsi="宋体"/>
                <w:color w:val="000000"/>
                <w:sz w:val="21"/>
                <w:szCs w:val="21"/>
              </w:rPr>
            </w:pPr>
          </w:p>
          <w:p>
            <w:pPr>
              <w:spacing w:line="360" w:lineRule="exact"/>
              <w:rPr>
                <w:rFonts w:ascii="宋体" w:hAnsi="宋体"/>
                <w:color w:val="000000"/>
                <w:sz w:val="21"/>
                <w:szCs w:val="21"/>
              </w:rPr>
            </w:pPr>
          </w:p>
          <w:p>
            <w:pPr>
              <w:spacing w:line="360" w:lineRule="exact"/>
              <w:rPr>
                <w:rFonts w:ascii="宋体" w:hAnsi="宋体"/>
                <w:color w:val="000000"/>
                <w:sz w:val="21"/>
                <w:szCs w:val="21"/>
              </w:rPr>
            </w:pPr>
          </w:p>
          <w:p>
            <w:pPr>
              <w:spacing w:line="360" w:lineRule="exact"/>
              <w:rPr>
                <w:rFonts w:ascii="宋体" w:hAnsi="宋体"/>
                <w:color w:val="000000"/>
                <w:sz w:val="21"/>
                <w:szCs w:val="21"/>
              </w:rPr>
            </w:pPr>
          </w:p>
          <w:p>
            <w:pPr>
              <w:spacing w:line="360" w:lineRule="exact"/>
              <w:rPr>
                <w:rFonts w:ascii="宋体" w:hAnsi="宋体"/>
                <w:sz w:val="21"/>
                <w:szCs w:val="21"/>
              </w:rPr>
            </w:pPr>
            <w:r>
              <w:rPr>
                <w:rFonts w:hint="eastAsia" w:ascii="宋体" w:hAnsi="宋体"/>
                <w:bCs/>
                <w:kern w:val="0"/>
                <w:sz w:val="21"/>
                <w:szCs w:val="21"/>
              </w:rPr>
              <w:t xml:space="preserve">                  </w:t>
            </w:r>
            <w:r>
              <w:rPr>
                <w:rFonts w:hint="eastAsia" w:ascii="宋体" w:hAnsi="宋体"/>
                <w:kern w:val="0"/>
                <w:sz w:val="21"/>
                <w:szCs w:val="21"/>
              </w:rPr>
              <w:t xml:space="preserve">                                    年     月    日</w:t>
            </w:r>
          </w:p>
          <w:p>
            <w:pPr>
              <w:spacing w:line="360" w:lineRule="exact"/>
              <w:rPr>
                <w:rFonts w:ascii="宋体" w:hAnsi="宋体"/>
                <w:color w:val="000000"/>
                <w:sz w:val="21"/>
                <w:szCs w:val="21"/>
              </w:rP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1151" w:type="dxa"/>
            <w:vMerge w:val="continue"/>
            <w:tcBorders>
              <w:right w:val="single" w:color="auto" w:sz="4" w:space="0"/>
            </w:tcBorders>
            <w:textDirection w:val="tbRlV"/>
            <w:vAlign w:val="center"/>
          </w:tcPr>
          <w:p>
            <w:pPr>
              <w:spacing w:line="360" w:lineRule="exact"/>
              <w:ind w:left="113" w:right="113"/>
              <w:jc w:val="center"/>
              <w:rPr>
                <w:rFonts w:ascii="宋体" w:hAnsi="宋体"/>
                <w:bCs/>
                <w:sz w:val="21"/>
                <w:szCs w:val="21"/>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bCs/>
                <w:sz w:val="21"/>
                <w:szCs w:val="21"/>
              </w:rPr>
            </w:pPr>
            <w:r>
              <w:rPr>
                <w:rFonts w:hint="eastAsia" w:ascii="宋体" w:hAnsi="宋体"/>
                <w:bCs/>
                <w:kern w:val="0"/>
                <w:sz w:val="21"/>
                <w:szCs w:val="21"/>
              </w:rPr>
              <w:t>专家姓名</w:t>
            </w:r>
          </w:p>
        </w:tc>
        <w:tc>
          <w:tcPr>
            <w:tcW w:w="2519" w:type="dxa"/>
            <w:gridSpan w:val="3"/>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bCs/>
                <w:sz w:val="21"/>
                <w:szCs w:val="21"/>
              </w:rPr>
            </w:pPr>
            <w:r>
              <w:rPr>
                <w:rFonts w:hint="eastAsia" w:ascii="宋体" w:hAnsi="宋体"/>
                <w:bCs/>
                <w:kern w:val="0"/>
                <w:sz w:val="21"/>
                <w:szCs w:val="21"/>
              </w:rPr>
              <w:t>工作单位</w:t>
            </w:r>
          </w:p>
        </w:tc>
        <w:tc>
          <w:tcPr>
            <w:tcW w:w="1949"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bCs/>
                <w:sz w:val="21"/>
                <w:szCs w:val="21"/>
              </w:rPr>
            </w:pPr>
            <w:r>
              <w:rPr>
                <w:rFonts w:hint="eastAsia" w:ascii="宋体" w:hAnsi="宋体"/>
                <w:bCs/>
                <w:kern w:val="0"/>
                <w:sz w:val="21"/>
                <w:szCs w:val="21"/>
              </w:rPr>
              <w:t>职称</w:t>
            </w:r>
          </w:p>
        </w:tc>
        <w:tc>
          <w:tcPr>
            <w:tcW w:w="1899" w:type="dxa"/>
            <w:tcBorders>
              <w:top w:val="single" w:color="auto" w:sz="4" w:space="0"/>
              <w:left w:val="single" w:color="auto" w:sz="4" w:space="0"/>
              <w:bottom w:val="single" w:color="auto" w:sz="4" w:space="0"/>
            </w:tcBorders>
            <w:vAlign w:val="center"/>
          </w:tcPr>
          <w:p>
            <w:pPr>
              <w:wordWrap w:val="0"/>
              <w:spacing w:line="360" w:lineRule="exact"/>
              <w:jc w:val="center"/>
              <w:rPr>
                <w:rFonts w:ascii="宋体" w:hAnsi="宋体"/>
                <w:bCs/>
                <w:sz w:val="21"/>
                <w:szCs w:val="21"/>
              </w:rPr>
            </w:pPr>
            <w:r>
              <w:rPr>
                <w:rFonts w:hint="eastAsia" w:ascii="宋体" w:hAnsi="宋体"/>
                <w:bCs/>
                <w:kern w:val="0"/>
                <w:sz w:val="21"/>
                <w:szCs w:val="21"/>
              </w:rPr>
              <w:t>签名</w:t>
            </w: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151" w:type="dxa"/>
            <w:vMerge w:val="continue"/>
            <w:tcBorders>
              <w:right w:val="single" w:color="auto" w:sz="4" w:space="0"/>
            </w:tcBorders>
            <w:textDirection w:val="tbRlV"/>
            <w:vAlign w:val="center"/>
          </w:tcPr>
          <w:p>
            <w:pPr>
              <w:spacing w:line="360" w:lineRule="exact"/>
              <w:ind w:left="113" w:right="113"/>
              <w:jc w:val="center"/>
              <w:rPr>
                <w:rFonts w:ascii="宋体" w:hAnsi="宋体"/>
                <w:bCs/>
                <w:sz w:val="21"/>
                <w:szCs w:val="21"/>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rPr>
                <w:rFonts w:ascii="宋体" w:hAnsi="宋体"/>
                <w:bCs/>
                <w:sz w:val="21"/>
                <w:szCs w:val="21"/>
              </w:rPr>
            </w:pPr>
            <w:r>
              <w:rPr>
                <w:rFonts w:hint="eastAsia" w:ascii="宋体" w:hAnsi="宋体"/>
                <w:bCs/>
                <w:kern w:val="0"/>
                <w:sz w:val="21"/>
                <w:szCs w:val="21"/>
              </w:rPr>
              <w:t>组长：</w:t>
            </w:r>
          </w:p>
        </w:tc>
        <w:tc>
          <w:tcPr>
            <w:tcW w:w="2519" w:type="dxa"/>
            <w:gridSpan w:val="3"/>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bCs/>
                <w:sz w:val="21"/>
                <w:szCs w:val="21"/>
              </w:rPr>
            </w:pPr>
          </w:p>
        </w:tc>
        <w:tc>
          <w:tcPr>
            <w:tcW w:w="1949"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bCs/>
                <w:sz w:val="21"/>
                <w:szCs w:val="21"/>
              </w:rPr>
            </w:pPr>
          </w:p>
        </w:tc>
        <w:tc>
          <w:tcPr>
            <w:tcW w:w="1899" w:type="dxa"/>
            <w:tcBorders>
              <w:top w:val="single" w:color="auto" w:sz="4" w:space="0"/>
              <w:left w:val="single" w:color="auto" w:sz="4" w:space="0"/>
              <w:bottom w:val="single" w:color="auto" w:sz="4" w:space="0"/>
            </w:tcBorders>
            <w:vAlign w:val="center"/>
          </w:tcPr>
          <w:p>
            <w:pPr>
              <w:wordWrap w:val="0"/>
              <w:spacing w:line="360" w:lineRule="exact"/>
              <w:jc w:val="center"/>
              <w:rPr>
                <w:rFonts w:ascii="宋体" w:hAnsi="宋体"/>
                <w:bCs/>
                <w:sz w:val="21"/>
                <w:szCs w:val="21"/>
              </w:rP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1151" w:type="dxa"/>
            <w:vMerge w:val="continue"/>
            <w:tcBorders>
              <w:right w:val="single" w:color="auto" w:sz="4" w:space="0"/>
            </w:tcBorders>
            <w:textDirection w:val="tbRlV"/>
            <w:vAlign w:val="center"/>
          </w:tcPr>
          <w:p>
            <w:pPr>
              <w:spacing w:line="360" w:lineRule="exact"/>
              <w:ind w:left="113" w:right="113"/>
              <w:jc w:val="center"/>
              <w:rPr>
                <w:rFonts w:ascii="宋体" w:hAnsi="宋体"/>
                <w:bCs/>
                <w:sz w:val="21"/>
                <w:szCs w:val="21"/>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2519" w:type="dxa"/>
            <w:gridSpan w:val="3"/>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949"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899" w:type="dxa"/>
            <w:tcBorders>
              <w:top w:val="single" w:color="auto" w:sz="4" w:space="0"/>
              <w:left w:val="single" w:color="auto" w:sz="4" w:space="0"/>
              <w:bottom w:val="single" w:color="auto" w:sz="4" w:space="0"/>
            </w:tcBorders>
            <w:vAlign w:val="center"/>
          </w:tcPr>
          <w:p>
            <w:pPr>
              <w:wordWrap w:val="0"/>
              <w:spacing w:line="360" w:lineRule="exact"/>
              <w:jc w:val="center"/>
              <w:rPr>
                <w:rFonts w:ascii="宋体" w:hAnsi="宋体"/>
                <w:color w:val="000000"/>
                <w:sz w:val="21"/>
                <w:szCs w:val="21"/>
              </w:rP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1151" w:type="dxa"/>
            <w:vMerge w:val="continue"/>
            <w:tcBorders>
              <w:right w:val="single" w:color="auto" w:sz="4" w:space="0"/>
            </w:tcBorders>
            <w:textDirection w:val="tbRlV"/>
            <w:vAlign w:val="center"/>
          </w:tcPr>
          <w:p>
            <w:pPr>
              <w:spacing w:line="360" w:lineRule="exact"/>
              <w:ind w:left="113" w:right="113"/>
              <w:jc w:val="center"/>
              <w:rPr>
                <w:rFonts w:ascii="宋体" w:hAnsi="宋体"/>
                <w:bCs/>
                <w:sz w:val="21"/>
                <w:szCs w:val="21"/>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2519" w:type="dxa"/>
            <w:gridSpan w:val="3"/>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949"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899" w:type="dxa"/>
            <w:tcBorders>
              <w:top w:val="single" w:color="auto" w:sz="4" w:space="0"/>
              <w:left w:val="single" w:color="auto" w:sz="4" w:space="0"/>
              <w:bottom w:val="single" w:color="auto" w:sz="4" w:space="0"/>
            </w:tcBorders>
            <w:vAlign w:val="center"/>
          </w:tcPr>
          <w:p>
            <w:pPr>
              <w:wordWrap w:val="0"/>
              <w:spacing w:line="360" w:lineRule="exact"/>
              <w:jc w:val="center"/>
              <w:rPr>
                <w:rFonts w:ascii="宋体" w:hAnsi="宋体"/>
                <w:color w:val="000000"/>
                <w:sz w:val="21"/>
                <w:szCs w:val="21"/>
              </w:rP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1151" w:type="dxa"/>
            <w:vMerge w:val="continue"/>
            <w:tcBorders>
              <w:right w:val="single" w:color="auto" w:sz="4" w:space="0"/>
            </w:tcBorders>
            <w:textDirection w:val="tbRlV"/>
            <w:vAlign w:val="center"/>
          </w:tcPr>
          <w:p>
            <w:pPr>
              <w:spacing w:line="360" w:lineRule="exact"/>
              <w:ind w:left="113" w:right="113"/>
              <w:jc w:val="center"/>
              <w:rPr>
                <w:rFonts w:ascii="宋体" w:hAnsi="宋体"/>
                <w:bCs/>
                <w:sz w:val="21"/>
                <w:szCs w:val="21"/>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2519" w:type="dxa"/>
            <w:gridSpan w:val="3"/>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949"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899" w:type="dxa"/>
            <w:tcBorders>
              <w:top w:val="single" w:color="auto" w:sz="4" w:space="0"/>
              <w:left w:val="single" w:color="auto" w:sz="4" w:space="0"/>
              <w:bottom w:val="single" w:color="auto" w:sz="4" w:space="0"/>
            </w:tcBorders>
            <w:vAlign w:val="center"/>
          </w:tcPr>
          <w:p>
            <w:pPr>
              <w:wordWrap w:val="0"/>
              <w:spacing w:line="360" w:lineRule="exact"/>
              <w:jc w:val="center"/>
              <w:rPr>
                <w:rFonts w:ascii="宋体" w:hAnsi="宋体"/>
                <w:color w:val="000000"/>
                <w:sz w:val="21"/>
                <w:szCs w:val="21"/>
              </w:rPr>
            </w:pPr>
          </w:p>
        </w:tc>
      </w:tr>
      <w:tr>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151" w:type="dxa"/>
            <w:vMerge w:val="continue"/>
            <w:tcBorders>
              <w:bottom w:val="single" w:color="auto" w:sz="4" w:space="0"/>
              <w:right w:val="single" w:color="auto" w:sz="4" w:space="0"/>
            </w:tcBorders>
            <w:textDirection w:val="tbRlV"/>
            <w:vAlign w:val="center"/>
          </w:tcPr>
          <w:p>
            <w:pPr>
              <w:spacing w:line="360" w:lineRule="exact"/>
              <w:ind w:left="113" w:right="113"/>
              <w:jc w:val="center"/>
              <w:rPr>
                <w:rFonts w:ascii="宋体" w:hAnsi="宋体"/>
                <w:bCs/>
                <w:sz w:val="21"/>
                <w:szCs w:val="21"/>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2519" w:type="dxa"/>
            <w:gridSpan w:val="3"/>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949"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exact"/>
              <w:jc w:val="center"/>
              <w:rPr>
                <w:rFonts w:ascii="宋体" w:hAnsi="宋体"/>
                <w:color w:val="000000"/>
                <w:sz w:val="21"/>
                <w:szCs w:val="21"/>
              </w:rPr>
            </w:pPr>
          </w:p>
        </w:tc>
        <w:tc>
          <w:tcPr>
            <w:tcW w:w="1899" w:type="dxa"/>
            <w:tcBorders>
              <w:top w:val="single" w:color="auto" w:sz="4" w:space="0"/>
              <w:left w:val="single" w:color="auto" w:sz="4" w:space="0"/>
              <w:bottom w:val="single" w:color="auto" w:sz="4" w:space="0"/>
            </w:tcBorders>
            <w:vAlign w:val="center"/>
          </w:tcPr>
          <w:p>
            <w:pPr>
              <w:wordWrap w:val="0"/>
              <w:spacing w:line="360" w:lineRule="exact"/>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8948" w:type="dxa"/>
            <w:gridSpan w:val="9"/>
          </w:tcPr>
          <w:p>
            <w:pPr>
              <w:adjustRightInd w:val="0"/>
              <w:snapToGrid w:val="0"/>
              <w:spacing w:before="190" w:beforeLines="50"/>
              <w:rPr>
                <w:rFonts w:ascii="宋体" w:hAnsi="宋体"/>
                <w:b/>
                <w:bCs/>
                <w:sz w:val="21"/>
                <w:szCs w:val="21"/>
              </w:rPr>
            </w:pPr>
            <w:r>
              <w:rPr>
                <w:rFonts w:hint="eastAsia" w:ascii="宋体" w:hAnsi="宋体"/>
                <w:b/>
                <w:bCs/>
                <w:kern w:val="0"/>
                <w:sz w:val="21"/>
                <w:szCs w:val="21"/>
              </w:rPr>
              <w:t>二级学院（部门）意见：</w:t>
            </w:r>
          </w:p>
          <w:p>
            <w:pPr>
              <w:spacing w:line="300" w:lineRule="exact"/>
              <w:rPr>
                <w:rFonts w:ascii="宋体" w:hAnsi="宋体"/>
                <w:sz w:val="21"/>
                <w:szCs w:val="21"/>
              </w:rPr>
            </w:pPr>
          </w:p>
          <w:p>
            <w:pPr>
              <w:spacing w:line="300" w:lineRule="exact"/>
              <w:rPr>
                <w:rFonts w:ascii="宋体" w:hAnsi="宋体"/>
                <w:sz w:val="21"/>
                <w:szCs w:val="21"/>
              </w:rPr>
            </w:pPr>
          </w:p>
          <w:p>
            <w:pPr>
              <w:spacing w:line="300" w:lineRule="exact"/>
              <w:jc w:val="left"/>
              <w:rPr>
                <w:rFonts w:ascii="宋体" w:hAnsi="宋体"/>
                <w:sz w:val="21"/>
                <w:szCs w:val="21"/>
              </w:rPr>
            </w:pPr>
          </w:p>
          <w:p>
            <w:pPr>
              <w:spacing w:line="300" w:lineRule="exact"/>
              <w:jc w:val="left"/>
              <w:rPr>
                <w:rFonts w:ascii="宋体" w:hAnsi="宋体"/>
                <w:sz w:val="21"/>
                <w:szCs w:val="21"/>
              </w:rPr>
            </w:pPr>
          </w:p>
          <w:p>
            <w:pPr>
              <w:spacing w:line="300" w:lineRule="exact"/>
              <w:jc w:val="left"/>
              <w:rPr>
                <w:rFonts w:ascii="宋体" w:hAnsi="宋体"/>
                <w:sz w:val="21"/>
                <w:szCs w:val="21"/>
              </w:rPr>
            </w:pPr>
          </w:p>
          <w:p>
            <w:pPr>
              <w:adjustRightInd w:val="0"/>
              <w:snapToGrid w:val="0"/>
              <w:ind w:right="420" w:firstLine="4620" w:firstLineChars="2200"/>
              <w:rPr>
                <w:rFonts w:ascii="宋体" w:hAnsi="宋体"/>
                <w:color w:val="000000"/>
                <w:sz w:val="21"/>
                <w:szCs w:val="21"/>
              </w:rPr>
            </w:pPr>
            <w:r>
              <w:rPr>
                <w:rFonts w:hint="eastAsia" w:ascii="宋体" w:hAnsi="宋体"/>
                <w:bCs/>
                <w:kern w:val="0"/>
                <w:sz w:val="21"/>
                <w:szCs w:val="21"/>
              </w:rPr>
              <w:t xml:space="preserve">负责人签字（盖章）：                                  </w:t>
            </w:r>
          </w:p>
          <w:p>
            <w:pPr>
              <w:adjustRightInd w:val="0"/>
              <w:snapToGrid w:val="0"/>
              <w:jc w:val="right"/>
              <w:rPr>
                <w:rFonts w:ascii="宋体" w:hAnsi="宋体"/>
                <w:b/>
                <w:bCs/>
                <w:color w:val="000000"/>
                <w:sz w:val="21"/>
                <w:szCs w:val="21"/>
              </w:rPr>
            </w:pPr>
            <w:r>
              <w:rPr>
                <w:rFonts w:hint="eastAsia" w:ascii="宋体" w:hAnsi="宋体"/>
                <w:bCs/>
                <w:kern w:val="0"/>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8948" w:type="dxa"/>
            <w:gridSpan w:val="9"/>
          </w:tcPr>
          <w:p>
            <w:pPr>
              <w:adjustRightInd w:val="0"/>
              <w:snapToGrid w:val="0"/>
              <w:spacing w:before="190" w:beforeLines="50"/>
              <w:rPr>
                <w:rFonts w:ascii="宋体" w:hAnsi="宋体"/>
                <w:b/>
                <w:bCs/>
                <w:sz w:val="21"/>
                <w:szCs w:val="21"/>
              </w:rPr>
            </w:pPr>
            <w:r>
              <w:rPr>
                <w:rFonts w:hint="eastAsia" w:ascii="宋体" w:hAnsi="宋体"/>
                <w:b/>
                <w:bCs/>
                <w:kern w:val="0"/>
                <w:sz w:val="21"/>
                <w:szCs w:val="21"/>
              </w:rPr>
              <w:t>实验室与设备管理处意见:</w:t>
            </w:r>
          </w:p>
          <w:p>
            <w:pPr>
              <w:spacing w:line="300" w:lineRule="exact"/>
              <w:rPr>
                <w:rFonts w:ascii="宋体" w:hAnsi="宋体"/>
                <w:sz w:val="21"/>
                <w:szCs w:val="21"/>
              </w:rPr>
            </w:pPr>
          </w:p>
          <w:p>
            <w:pPr>
              <w:spacing w:line="300" w:lineRule="exact"/>
              <w:rPr>
                <w:rFonts w:ascii="宋体" w:hAnsi="宋体"/>
                <w:sz w:val="21"/>
                <w:szCs w:val="21"/>
              </w:rPr>
            </w:pPr>
          </w:p>
          <w:p>
            <w:pPr>
              <w:spacing w:line="300" w:lineRule="exact"/>
              <w:jc w:val="left"/>
              <w:rPr>
                <w:rFonts w:ascii="宋体" w:hAnsi="宋体"/>
                <w:sz w:val="21"/>
                <w:szCs w:val="21"/>
              </w:rPr>
            </w:pPr>
          </w:p>
          <w:p>
            <w:pPr>
              <w:spacing w:line="300" w:lineRule="exact"/>
              <w:ind w:firstLine="4095" w:firstLineChars="1950"/>
              <w:rPr>
                <w:rFonts w:ascii="宋体" w:hAnsi="宋体"/>
                <w:color w:val="000000"/>
                <w:sz w:val="21"/>
                <w:szCs w:val="21"/>
              </w:rPr>
            </w:pPr>
            <w:r>
              <w:rPr>
                <w:rFonts w:hint="eastAsia" w:ascii="宋体" w:hAnsi="宋体"/>
                <w:color w:val="FF0000"/>
                <w:kern w:val="0"/>
                <w:sz w:val="21"/>
                <w:szCs w:val="21"/>
              </w:rPr>
              <w:t xml:space="preserve">     </w:t>
            </w:r>
            <w:r>
              <w:rPr>
                <w:rFonts w:hint="eastAsia" w:ascii="宋体" w:hAnsi="宋体"/>
                <w:color w:val="000000"/>
                <w:kern w:val="0"/>
                <w:sz w:val="21"/>
                <w:szCs w:val="21"/>
              </w:rPr>
              <w:t>负责人签字（盖章):</w:t>
            </w:r>
          </w:p>
          <w:p>
            <w:pPr>
              <w:spacing w:line="360" w:lineRule="auto"/>
              <w:ind w:right="120"/>
              <w:jc w:val="right"/>
              <w:rPr>
                <w:rFonts w:ascii="宋体" w:hAnsi="宋体"/>
                <w:b/>
                <w:bCs/>
                <w:sz w:val="21"/>
                <w:szCs w:val="21"/>
              </w:rPr>
            </w:pPr>
            <w:r>
              <w:rPr>
                <w:rFonts w:hint="eastAsia" w:ascii="宋体" w:hAnsi="宋体"/>
                <w:color w:val="000000"/>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948" w:type="dxa"/>
            <w:gridSpan w:val="9"/>
          </w:tcPr>
          <w:p>
            <w:pPr>
              <w:adjustRightInd w:val="0"/>
              <w:snapToGrid w:val="0"/>
              <w:spacing w:before="190" w:beforeLines="50"/>
              <w:rPr>
                <w:rFonts w:ascii="宋体" w:hAnsi="宋体"/>
                <w:b/>
                <w:bCs/>
                <w:sz w:val="21"/>
                <w:szCs w:val="21"/>
              </w:rPr>
            </w:pPr>
            <w:r>
              <w:rPr>
                <w:rFonts w:hint="eastAsia" w:ascii="宋体" w:hAnsi="宋体"/>
                <w:b/>
                <w:bCs/>
                <w:kern w:val="0"/>
                <w:sz w:val="21"/>
                <w:szCs w:val="21"/>
              </w:rPr>
              <w:t>分管校领导意见：</w:t>
            </w:r>
          </w:p>
          <w:p>
            <w:pPr>
              <w:spacing w:line="300" w:lineRule="exact"/>
              <w:rPr>
                <w:rFonts w:ascii="宋体" w:hAnsi="宋体"/>
                <w:sz w:val="21"/>
                <w:szCs w:val="21"/>
              </w:rPr>
            </w:pPr>
          </w:p>
          <w:p>
            <w:pPr>
              <w:spacing w:line="300" w:lineRule="exact"/>
              <w:jc w:val="left"/>
              <w:rPr>
                <w:rFonts w:ascii="宋体" w:hAnsi="宋体"/>
                <w:sz w:val="21"/>
                <w:szCs w:val="21"/>
              </w:rPr>
            </w:pPr>
          </w:p>
          <w:p>
            <w:pPr>
              <w:spacing w:line="300" w:lineRule="exact"/>
              <w:jc w:val="left"/>
              <w:rPr>
                <w:rFonts w:ascii="宋体" w:hAnsi="宋体"/>
                <w:sz w:val="21"/>
                <w:szCs w:val="21"/>
              </w:rPr>
            </w:pPr>
          </w:p>
          <w:p>
            <w:pPr>
              <w:spacing w:line="300" w:lineRule="exact"/>
              <w:ind w:firstLine="4620" w:firstLineChars="2200"/>
              <w:rPr>
                <w:rFonts w:ascii="宋体" w:hAnsi="宋体"/>
                <w:color w:val="000000"/>
                <w:sz w:val="21"/>
                <w:szCs w:val="21"/>
              </w:rPr>
            </w:pPr>
            <w:r>
              <w:rPr>
                <w:rFonts w:hint="eastAsia" w:ascii="宋体" w:hAnsi="宋体"/>
                <w:color w:val="000000"/>
                <w:kern w:val="0"/>
                <w:sz w:val="21"/>
                <w:szCs w:val="21"/>
              </w:rPr>
              <w:t>分管校领导签字:</w:t>
            </w:r>
          </w:p>
          <w:p>
            <w:pPr>
              <w:wordWrap w:val="0"/>
              <w:spacing w:before="190" w:beforeLines="50"/>
              <w:jc w:val="right"/>
              <w:rPr>
                <w:rFonts w:ascii="宋体" w:hAnsi="宋体"/>
                <w:sz w:val="21"/>
                <w:szCs w:val="21"/>
              </w:rPr>
            </w:pPr>
            <w:r>
              <w:rPr>
                <w:rFonts w:hint="eastAsia" w:ascii="宋体" w:hAnsi="宋体"/>
                <w:color w:val="000000"/>
                <w:kern w:val="0"/>
                <w:sz w:val="21"/>
                <w:szCs w:val="21"/>
              </w:rPr>
              <w:t xml:space="preserve">     年    月    日</w:t>
            </w:r>
          </w:p>
        </w:tc>
      </w:tr>
    </w:tbl>
    <w:p>
      <w:pPr>
        <w:rPr>
          <w:sz w:val="10"/>
          <w:szCs w:val="10"/>
        </w:rPr>
      </w:pPr>
    </w:p>
    <w:p>
      <w:pPr>
        <w:widowControl/>
        <w:jc w:val="left"/>
      </w:pPr>
      <w:r>
        <w:br w:type="page"/>
      </w:r>
    </w:p>
    <w:p>
      <w:r>
        <w:drawing>
          <wp:anchor distT="0" distB="0" distL="114300" distR="114300" simplePos="0" relativeHeight="251668480" behindDoc="0" locked="0" layoutInCell="1" allowOverlap="1">
            <wp:simplePos x="0" y="0"/>
            <wp:positionH relativeFrom="column">
              <wp:posOffset>-104775</wp:posOffset>
            </wp:positionH>
            <wp:positionV relativeFrom="paragraph">
              <wp:posOffset>180975</wp:posOffset>
            </wp:positionV>
            <wp:extent cx="2457450" cy="71437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57450" cy="714375"/>
                    </a:xfrm>
                    <a:prstGeom prst="rect">
                      <a:avLst/>
                    </a:prstGeom>
                    <a:noFill/>
                    <a:ln>
                      <a:noFill/>
                    </a:ln>
                  </pic:spPr>
                </pic:pic>
              </a:graphicData>
            </a:graphic>
          </wp:anchor>
        </w:drawing>
      </w:r>
    </w:p>
    <w:p/>
    <w:p>
      <w:pPr>
        <w:jc w:val="center"/>
        <w:rPr>
          <w:b/>
          <w:bCs/>
          <w:sz w:val="72"/>
        </w:rPr>
      </w:pPr>
      <w: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552450</wp:posOffset>
                </wp:positionV>
                <wp:extent cx="2428875" cy="0"/>
                <wp:effectExtent l="7620" t="12700" r="11430" b="635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pt;margin-top:43.5pt;height:0pt;width:191.25pt;z-index:251666432;mso-width-relative:page;mso-height-relative:page;" filled="f" stroked="t" coordsize="21600,21600" o:gfxdata="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Mmlb32AAAAAkBAAAPAAAAAAAA&#10;AAEAIAAAACIAAABkcnMvZG93bnJldi54bWxQSwECFAAUAAAACACHTuJAEbNwPtkBAABwAwAADgAA&#10;AAAAAAABACAAAAAnAQAAZHJzL2Uyb0RvYy54bWxQSwUGAAAAAAYABgBZAQAAcgUAAAAA&#10;">
                <v:fill on="f" focussize="0,0"/>
                <v:stroke color="#000000" joinstyle="round"/>
                <v:imagedata o:title=""/>
                <o:lock v:ext="edit" aspectratio="f"/>
              </v:shape>
            </w:pict>
          </mc:Fallback>
        </mc:AlternateContent>
      </w:r>
    </w:p>
    <w:p>
      <w:pPr>
        <w:rPr>
          <w:rFonts w:ascii="方正小标宋简体" w:hAnsi="Arial Rounded MT Bold" w:eastAsia="方正小标宋简体"/>
          <w:sz w:val="32"/>
          <w:szCs w:val="32"/>
        </w:rPr>
      </w:pPr>
      <w:r>
        <w:rPr>
          <w:rFonts w:hint="eastAsia" w:ascii="方正小标宋简体" w:hAnsi="Arial Rounded MT Bold" w:eastAsia="方正小标宋简体"/>
          <w:w w:val="98"/>
          <w:kern w:val="0"/>
          <w:sz w:val="32"/>
          <w:szCs w:val="32"/>
        </w:rPr>
        <w:t>QUZHOU</w:t>
      </w:r>
      <w:r>
        <w:rPr>
          <w:rFonts w:hint="eastAsia" w:ascii="方正小标宋简体" w:hAnsi="Arial Rounded MT Bold" w:eastAsia="方正小标宋简体"/>
          <w:w w:val="98"/>
          <w:kern w:val="0"/>
          <w:szCs w:val="21"/>
        </w:rPr>
        <w:t xml:space="preserve"> </w:t>
      </w:r>
      <w:r>
        <w:rPr>
          <w:rFonts w:ascii="方正小标宋简体" w:hAnsi="Arial Rounded MT Bold" w:eastAsia="方正小标宋简体"/>
          <w:w w:val="98"/>
          <w:kern w:val="0"/>
          <w:szCs w:val="21"/>
        </w:rPr>
        <w:t xml:space="preserve"> </w:t>
      </w:r>
      <w:r>
        <w:rPr>
          <w:rFonts w:hint="eastAsia" w:ascii="方正小标宋简体" w:hAnsi="Arial Rounded MT Bold" w:eastAsia="方正小标宋简体"/>
          <w:w w:val="98"/>
          <w:kern w:val="0"/>
          <w:sz w:val="32"/>
          <w:szCs w:val="32"/>
        </w:rPr>
        <w:t>UNIVERSIT</w:t>
      </w:r>
      <w:r>
        <w:rPr>
          <w:rFonts w:hint="eastAsia" w:ascii="方正小标宋简体" w:hAnsi="Arial Rounded MT Bold" w:eastAsia="方正小标宋简体"/>
          <w:spacing w:val="21"/>
          <w:w w:val="98"/>
          <w:kern w:val="0"/>
          <w:sz w:val="32"/>
          <w:szCs w:val="32"/>
        </w:rPr>
        <w:t>Y</w:t>
      </w:r>
    </w:p>
    <w:p>
      <w:pPr>
        <w:jc w:val="center"/>
        <w:rPr>
          <w:sz w:val="52"/>
          <w:szCs w:val="52"/>
        </w:rPr>
      </w:pPr>
    </w:p>
    <w:p>
      <w:pPr>
        <w:rPr>
          <w:sz w:val="52"/>
          <w:szCs w:val="52"/>
        </w:rPr>
      </w:pPr>
    </w:p>
    <w:p>
      <w:pPr>
        <w:adjustRightInd w:val="0"/>
        <w:snapToGrid w:val="0"/>
        <w:spacing w:line="360" w:lineRule="auto"/>
        <w:jc w:val="center"/>
        <w:rPr>
          <w:rFonts w:ascii="黑体" w:hAnsi="黑体" w:eastAsia="黑体"/>
          <w:bCs/>
          <w:sz w:val="48"/>
          <w:szCs w:val="48"/>
        </w:rPr>
      </w:pPr>
      <w:r>
        <w:rPr>
          <w:rFonts w:hint="eastAsia" w:ascii="黑体" w:hAnsi="黑体" w:eastAsia="黑体"/>
          <w:bCs/>
          <w:kern w:val="0"/>
          <w:sz w:val="48"/>
          <w:szCs w:val="48"/>
        </w:rPr>
        <w:t>衢州学院实验室建设项目立项申报书</w:t>
      </w:r>
    </w:p>
    <w:p>
      <w:pPr>
        <w:ind w:firstLine="2205" w:firstLineChars="735"/>
        <w:rPr>
          <w:rFonts w:ascii="宋体" w:hAnsi="宋体"/>
          <w:sz w:val="30"/>
        </w:rPr>
      </w:pPr>
    </w:p>
    <w:p>
      <w:pPr>
        <w:ind w:firstLine="1440" w:firstLineChars="450"/>
        <w:rPr>
          <w:rFonts w:ascii="宋体" w:hAnsi="宋体"/>
          <w:sz w:val="32"/>
          <w:szCs w:val="32"/>
        </w:rPr>
      </w:pPr>
      <w:r>
        <w:rPr>
          <w:rFonts w:hint="eastAsia" w:ascii="宋体" w:hAnsi="宋体"/>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2200275</wp:posOffset>
                </wp:positionH>
                <wp:positionV relativeFrom="paragraph">
                  <wp:posOffset>289560</wp:posOffset>
                </wp:positionV>
                <wp:extent cx="2533650" cy="0"/>
                <wp:effectExtent l="7620" t="9525" r="11430"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25pt;margin-top:22.8pt;height:0pt;width:199.5pt;z-index:251662336;mso-width-relative:page;mso-height-relative:page;" filled="f" stroked="t" coordsize="21600,21600" o:gfxdata="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14XIa1gAAAAkBAAAPAAAAAAAAAAEAIAAAACIAAABkcnMvZG93&#10;bnJldi54bWxQSwECFAAUAAAACACHTuJAey+gUskBAABc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spacing w:val="12"/>
          <w:w w:val="93"/>
          <w:sz w:val="32"/>
          <w:szCs w:val="32"/>
        </w:rPr>
        <w:t xml:space="preserve">项 目 名称  </w:t>
      </w:r>
    </w:p>
    <w:p>
      <w:pPr>
        <w:ind w:firstLine="1440" w:firstLineChars="450"/>
        <w:rPr>
          <w:rFonts w:ascii="宋体" w:hAnsi="宋体"/>
          <w:sz w:val="30"/>
        </w:rPr>
      </w:pPr>
      <w:r>
        <w:rPr>
          <w:rFonts w:hint="eastAsia" w:ascii="宋体" w:hAnsi="宋体"/>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2200275</wp:posOffset>
                </wp:positionH>
                <wp:positionV relativeFrom="paragraph">
                  <wp:posOffset>391160</wp:posOffset>
                </wp:positionV>
                <wp:extent cx="253365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25pt;margin-top:30.8pt;height:0pt;width:199.5pt;z-index:251663360;mso-width-relative:page;mso-height-relative:page;" filled="f" stroked="t" coordsize="21600,21600" o:gfxdata="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oGge1gAAAAkBAAAPAAAAAAAAAAEAIAAAACIAAABkcnMvZG93&#10;bnJldi54bWxQSwECFAAUAAAACACHTuJAPIE+C8kBAABc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spacing w:val="6"/>
          <w:kern w:val="0"/>
          <w:sz w:val="32"/>
          <w:szCs w:val="32"/>
        </w:rPr>
        <w:t>申 报 部门</w:t>
      </w:r>
      <w:r>
        <w:rPr>
          <w:rFonts w:hint="eastAsia" w:ascii="宋体" w:hAnsi="宋体"/>
          <w:spacing w:val="6"/>
          <w:kern w:val="0"/>
          <w:sz w:val="30"/>
        </w:rPr>
        <w:t xml:space="preserve">                    （公章</w:t>
      </w:r>
      <w:r>
        <w:rPr>
          <w:rFonts w:hint="eastAsia" w:ascii="宋体" w:hAnsi="宋体"/>
          <w:spacing w:val="1"/>
          <w:kern w:val="0"/>
          <w:sz w:val="30"/>
        </w:rPr>
        <w:t>）</w:t>
      </w:r>
    </w:p>
    <w:p>
      <w:pPr>
        <w:ind w:firstLine="1440" w:firstLineChars="450"/>
        <w:rPr>
          <w:rFonts w:ascii="宋体" w:hAnsi="宋体"/>
          <w:spacing w:val="14"/>
          <w:sz w:val="32"/>
          <w:szCs w:val="32"/>
        </w:rPr>
      </w:pPr>
      <w:r>
        <w:rPr>
          <w:rFonts w:hint="eastAsia" w:ascii="宋体" w:hAnsi="宋体"/>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2200275</wp:posOffset>
                </wp:positionH>
                <wp:positionV relativeFrom="paragraph">
                  <wp:posOffset>411480</wp:posOffset>
                </wp:positionV>
                <wp:extent cx="2533650" cy="0"/>
                <wp:effectExtent l="0" t="0" r="1905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25pt;margin-top:32.4pt;height:0pt;width:199.5pt;z-index:251664384;mso-width-relative:page;mso-height-relative:page;" filled="f" stroked="t" coordsize="21600,21600" o:gfxdata="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QYVz21gAAAAkBAAAPAAAAAAAAAAEAIAAAACIAAABkcnMvZG93&#10;bnJldi54bWxQSwECFAAUAAAACACHTuJAT/oQ3skBAABc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spacing w:val="3"/>
          <w:sz w:val="32"/>
          <w:szCs w:val="32"/>
        </w:rPr>
        <w:t>项目负责人</w:t>
      </w:r>
      <w:r>
        <w:rPr>
          <w:rFonts w:hint="eastAsia" w:ascii="宋体" w:hAnsi="宋体"/>
          <w:spacing w:val="3"/>
          <w:kern w:val="0"/>
          <w:sz w:val="32"/>
          <w:szCs w:val="32"/>
        </w:rPr>
        <w:t xml:space="preserve">                  </w:t>
      </w:r>
      <w:r>
        <w:rPr>
          <w:rFonts w:hint="eastAsia" w:ascii="宋体" w:hAnsi="宋体"/>
          <w:spacing w:val="23"/>
          <w:kern w:val="0"/>
          <w:sz w:val="32"/>
          <w:szCs w:val="32"/>
        </w:rPr>
        <w:t xml:space="preserve"> </w:t>
      </w:r>
    </w:p>
    <w:p>
      <w:pPr>
        <w:ind w:firstLine="1440" w:firstLineChars="450"/>
        <w:rPr>
          <w:rFonts w:ascii="宋体" w:hAnsi="宋体"/>
          <w:spacing w:val="14"/>
          <w:sz w:val="32"/>
          <w:szCs w:val="32"/>
        </w:rPr>
      </w:pPr>
      <w:r>
        <w:rPr>
          <w:rFonts w:hint="eastAsia" w:ascii="宋体" w:hAnsi="宋体"/>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2200275</wp:posOffset>
                </wp:positionH>
                <wp:positionV relativeFrom="paragraph">
                  <wp:posOffset>431800</wp:posOffset>
                </wp:positionV>
                <wp:extent cx="2533650" cy="0"/>
                <wp:effectExtent l="0" t="0" r="1905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25pt;margin-top:34pt;height:0pt;width:199.5pt;z-index:251667456;mso-width-relative:page;mso-height-relative:page;" filled="f" stroked="t" coordsize="21600,21600" o:gfxdata="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ELnu7WAAAACQEAAA8AAAAAAAAAAQAgAAAAIgAAAGRycy9kb3du&#10;cmV2LnhtbFBLAQIUABQAAAAIAIdO4kCbcRN6yAEAAFwDAAAOAAAAAAAAAAEAIAAAACUBAABkcnMv&#10;ZTJvRG9jLnhtbFBLBQYAAAAABgAGAFkBAABfBQAAAAA=&#10;">
                <v:fill on="f" focussize="0,0"/>
                <v:stroke color="#000000" joinstyle="round"/>
                <v:imagedata o:title=""/>
                <o:lock v:ext="edit" aspectratio="f"/>
              </v:line>
            </w:pict>
          </mc:Fallback>
        </mc:AlternateContent>
      </w:r>
      <w:r>
        <w:rPr>
          <w:rFonts w:hint="eastAsia" w:ascii="宋体" w:hAnsi="宋体"/>
          <w:spacing w:val="16"/>
          <w:w w:val="91"/>
          <w:kern w:val="0"/>
          <w:sz w:val="32"/>
          <w:szCs w:val="32"/>
        </w:rPr>
        <w:t>联 系 方</w:t>
      </w:r>
      <w:r>
        <w:rPr>
          <w:rFonts w:hint="eastAsia" w:ascii="宋体" w:hAnsi="宋体"/>
          <w:spacing w:val="-1"/>
          <w:w w:val="91"/>
          <w:kern w:val="0"/>
          <w:sz w:val="32"/>
          <w:szCs w:val="32"/>
        </w:rPr>
        <w:t>式</w:t>
      </w:r>
    </w:p>
    <w:p>
      <w:pPr>
        <w:ind w:firstLine="1440" w:firstLineChars="450"/>
        <w:rPr>
          <w:rFonts w:ascii="宋体" w:hAnsi="宋体"/>
          <w:sz w:val="30"/>
        </w:rPr>
      </w:pPr>
      <w:r>
        <w:rPr>
          <w:rFonts w:hint="eastAsia" w:ascii="宋体" w:hAnsi="宋体"/>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2200275</wp:posOffset>
                </wp:positionH>
                <wp:positionV relativeFrom="paragraph">
                  <wp:posOffset>421640</wp:posOffset>
                </wp:positionV>
                <wp:extent cx="253365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25pt;margin-top:33.2pt;height:0pt;width:199.5pt;z-index:251665408;mso-width-relative:page;mso-height-relative:page;" filled="f" stroked="t" coordsize="21600,21600" o:gfxdata="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xjpO1gAAAAkBAAAPAAAAAAAAAAEAIAAAACIAAABkcnMvZG93&#10;bnJldi54bWxQSwECFAAUAAAACACHTuJA6Ao9r8kBAABc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spacing w:val="3"/>
          <w:w w:val="98"/>
          <w:kern w:val="0"/>
          <w:sz w:val="32"/>
          <w:szCs w:val="32"/>
        </w:rPr>
        <w:t xml:space="preserve">申 请 日期 </w:t>
      </w:r>
      <w:r>
        <w:rPr>
          <w:rFonts w:hint="eastAsia" w:ascii="宋体" w:hAnsi="宋体"/>
          <w:spacing w:val="3"/>
          <w:w w:val="98"/>
          <w:kern w:val="0"/>
          <w:sz w:val="30"/>
        </w:rPr>
        <w:t xml:space="preserve">              年    月    </w:t>
      </w:r>
      <w:r>
        <w:rPr>
          <w:rFonts w:hint="eastAsia" w:ascii="宋体" w:hAnsi="宋体"/>
          <w:spacing w:val="18"/>
          <w:w w:val="98"/>
          <w:kern w:val="0"/>
          <w:sz w:val="30"/>
        </w:rPr>
        <w:t>日</w:t>
      </w: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spacing w:val="12"/>
          <w:w w:val="93"/>
          <w:kern w:val="0"/>
          <w:sz w:val="32"/>
          <w:szCs w:val="32"/>
        </w:rPr>
      </w:pPr>
      <w:r>
        <w:rPr>
          <w:rFonts w:hint="eastAsia" w:ascii="宋体" w:hAnsi="宋体"/>
          <w:w w:val="93"/>
          <w:kern w:val="0"/>
          <w:sz w:val="32"/>
          <w:szCs w:val="32"/>
        </w:rPr>
        <w:t>实验室与设备管理处</w:t>
      </w:r>
      <w:r>
        <w:rPr>
          <w:rFonts w:hint="eastAsia" w:ascii="宋体" w:hAnsi="宋体"/>
          <w:spacing w:val="12"/>
          <w:w w:val="93"/>
          <w:kern w:val="0"/>
          <w:sz w:val="32"/>
          <w:szCs w:val="32"/>
        </w:rPr>
        <w:t>制</w:t>
      </w:r>
    </w:p>
    <w:p>
      <w:pPr>
        <w:jc w:val="center"/>
        <w:rPr>
          <w:rFonts w:ascii="宋体" w:hAnsi="宋体"/>
          <w:spacing w:val="12"/>
          <w:w w:val="93"/>
          <w:kern w:val="0"/>
          <w:sz w:val="32"/>
          <w:szCs w:val="32"/>
        </w:rPr>
      </w:pPr>
    </w:p>
    <w:p>
      <w:pPr>
        <w:jc w:val="center"/>
        <w:rPr>
          <w:rFonts w:ascii="宋体" w:hAnsi="宋体"/>
          <w:spacing w:val="12"/>
          <w:w w:val="93"/>
          <w:kern w:val="0"/>
          <w:sz w:val="32"/>
          <w:szCs w:val="32"/>
        </w:rPr>
      </w:pPr>
    </w:p>
    <w:p>
      <w:pPr>
        <w:jc w:val="center"/>
        <w:rPr>
          <w:rFonts w:ascii="宋体" w:hAnsi="宋体"/>
          <w:spacing w:val="12"/>
          <w:w w:val="93"/>
          <w:kern w:val="0"/>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4"/>
        <w:gridCol w:w="560"/>
        <w:gridCol w:w="692"/>
        <w:gridCol w:w="442"/>
        <w:gridCol w:w="266"/>
        <w:gridCol w:w="875"/>
        <w:gridCol w:w="77"/>
        <w:gridCol w:w="819"/>
        <w:gridCol w:w="379"/>
        <w:gridCol w:w="989"/>
        <w:gridCol w:w="181"/>
        <w:gridCol w:w="151"/>
        <w:gridCol w:w="1082"/>
        <w:gridCol w:w="149"/>
        <w:gridCol w:w="47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03" w:type="dxa"/>
            <w:vMerge w:val="restart"/>
            <w:vAlign w:val="center"/>
          </w:tcPr>
          <w:p>
            <w:pPr>
              <w:adjustRightInd w:val="0"/>
              <w:snapToGrid w:val="0"/>
              <w:jc w:val="center"/>
              <w:rPr>
                <w:rFonts w:ascii="宋体" w:hAnsi="宋体"/>
                <w:sz w:val="21"/>
                <w:szCs w:val="21"/>
              </w:rPr>
            </w:pPr>
            <w:r>
              <w:rPr>
                <w:rFonts w:hint="eastAsia" w:ascii="宋体" w:hAnsi="宋体"/>
                <w:spacing w:val="60"/>
                <w:kern w:val="0"/>
                <w:sz w:val="21"/>
                <w:szCs w:val="21"/>
              </w:rPr>
              <w:t>项</w:t>
            </w:r>
            <w:r>
              <w:rPr>
                <w:rFonts w:hint="eastAsia" w:ascii="宋体" w:hAnsi="宋体"/>
                <w:spacing w:val="-30"/>
                <w:kern w:val="0"/>
                <w:sz w:val="21"/>
                <w:szCs w:val="21"/>
              </w:rPr>
              <w:t>目</w:t>
            </w:r>
          </w:p>
          <w:p>
            <w:pPr>
              <w:adjustRightInd w:val="0"/>
              <w:snapToGrid w:val="0"/>
              <w:jc w:val="center"/>
              <w:rPr>
                <w:rFonts w:ascii="宋体" w:hAnsi="宋体"/>
                <w:sz w:val="21"/>
                <w:szCs w:val="21"/>
              </w:rPr>
            </w:pPr>
            <w:r>
              <w:rPr>
                <w:rFonts w:hint="eastAsia" w:ascii="宋体" w:hAnsi="宋体"/>
                <w:spacing w:val="60"/>
                <w:kern w:val="0"/>
                <w:sz w:val="21"/>
                <w:szCs w:val="21"/>
              </w:rPr>
              <w:t>概</w:t>
            </w:r>
            <w:r>
              <w:rPr>
                <w:rFonts w:hint="eastAsia" w:ascii="宋体" w:hAnsi="宋体"/>
                <w:spacing w:val="-30"/>
                <w:kern w:val="0"/>
                <w:sz w:val="21"/>
                <w:szCs w:val="21"/>
              </w:rPr>
              <w:t>况</w:t>
            </w:r>
          </w:p>
        </w:tc>
        <w:tc>
          <w:tcPr>
            <w:tcW w:w="1276" w:type="dxa"/>
            <w:gridSpan w:val="3"/>
            <w:vAlign w:val="center"/>
          </w:tcPr>
          <w:p>
            <w:pPr>
              <w:adjustRightInd w:val="0"/>
              <w:snapToGrid w:val="0"/>
              <w:rPr>
                <w:rFonts w:ascii="宋体" w:hAnsi="宋体"/>
                <w:sz w:val="21"/>
                <w:szCs w:val="21"/>
              </w:rPr>
            </w:pPr>
            <w:r>
              <w:rPr>
                <w:rFonts w:hint="eastAsia" w:ascii="宋体" w:hAnsi="宋体"/>
                <w:spacing w:val="20"/>
                <w:kern w:val="0"/>
                <w:sz w:val="21"/>
                <w:szCs w:val="21"/>
              </w:rPr>
              <w:t>项目名</w:t>
            </w:r>
            <w:r>
              <w:rPr>
                <w:rFonts w:hint="eastAsia" w:ascii="宋体" w:hAnsi="宋体"/>
                <w:kern w:val="0"/>
                <w:sz w:val="21"/>
                <w:szCs w:val="21"/>
              </w:rPr>
              <w:t>称</w:t>
            </w:r>
          </w:p>
        </w:tc>
        <w:tc>
          <w:tcPr>
            <w:tcW w:w="2479" w:type="dxa"/>
            <w:gridSpan w:val="5"/>
            <w:vAlign w:val="center"/>
          </w:tcPr>
          <w:p>
            <w:pPr>
              <w:adjustRightInd w:val="0"/>
              <w:snapToGrid w:val="0"/>
              <w:jc w:val="center"/>
              <w:rPr>
                <w:rFonts w:ascii="宋体" w:hAnsi="宋体"/>
                <w:sz w:val="21"/>
                <w:szCs w:val="21"/>
              </w:rPr>
            </w:pPr>
          </w:p>
        </w:tc>
        <w:tc>
          <w:tcPr>
            <w:tcW w:w="1368" w:type="dxa"/>
            <w:gridSpan w:val="2"/>
            <w:vAlign w:val="center"/>
          </w:tcPr>
          <w:p>
            <w:pPr>
              <w:adjustRightInd w:val="0"/>
              <w:snapToGrid w:val="0"/>
              <w:jc w:val="center"/>
              <w:rPr>
                <w:rFonts w:ascii="宋体" w:hAnsi="宋体"/>
                <w:sz w:val="21"/>
                <w:szCs w:val="21"/>
              </w:rPr>
            </w:pPr>
            <w:r>
              <w:rPr>
                <w:rFonts w:hint="eastAsia" w:ascii="宋体" w:hAnsi="宋体"/>
                <w:spacing w:val="20"/>
                <w:kern w:val="0"/>
                <w:sz w:val="21"/>
                <w:szCs w:val="21"/>
              </w:rPr>
              <w:t>建设时</w:t>
            </w:r>
            <w:r>
              <w:rPr>
                <w:rFonts w:hint="eastAsia" w:ascii="宋体" w:hAnsi="宋体"/>
                <w:kern w:val="0"/>
                <w:sz w:val="21"/>
                <w:szCs w:val="21"/>
              </w:rPr>
              <w:t>间</w:t>
            </w:r>
          </w:p>
        </w:tc>
        <w:tc>
          <w:tcPr>
            <w:tcW w:w="3134" w:type="dxa"/>
            <w:gridSpan w:val="6"/>
            <w:vAlign w:val="center"/>
          </w:tcPr>
          <w:p>
            <w:pPr>
              <w:adjustRightInd w:val="0"/>
              <w:snapToGrid w:val="0"/>
              <w:jc w:val="center"/>
              <w:rPr>
                <w:rFonts w:ascii="宋体" w:hAnsi="宋体"/>
                <w:sz w:val="21"/>
                <w:szCs w:val="21"/>
              </w:rPr>
            </w:pPr>
            <w:r>
              <w:rPr>
                <w:rFonts w:hint="eastAsia" w:ascii="宋体" w:hAnsi="宋体"/>
                <w:spacing w:val="4"/>
                <w:w w:val="73"/>
                <w:kern w:val="0"/>
                <w:sz w:val="21"/>
                <w:szCs w:val="21"/>
                <w:u w:val="single"/>
              </w:rPr>
              <w:t xml:space="preserve">   </w:t>
            </w:r>
            <w:r>
              <w:rPr>
                <w:rFonts w:hint="eastAsia" w:ascii="宋体" w:hAnsi="宋体"/>
                <w:spacing w:val="4"/>
                <w:w w:val="73"/>
                <w:kern w:val="0"/>
                <w:sz w:val="21"/>
                <w:szCs w:val="21"/>
              </w:rPr>
              <w:t>年</w:t>
            </w:r>
            <w:r>
              <w:rPr>
                <w:rFonts w:hint="eastAsia" w:ascii="宋体" w:hAnsi="宋体"/>
                <w:spacing w:val="4"/>
                <w:w w:val="73"/>
                <w:kern w:val="0"/>
                <w:sz w:val="21"/>
                <w:szCs w:val="21"/>
                <w:u w:val="single"/>
              </w:rPr>
              <w:t xml:space="preserve">   </w:t>
            </w:r>
            <w:r>
              <w:rPr>
                <w:rFonts w:hint="eastAsia" w:ascii="宋体" w:hAnsi="宋体"/>
                <w:spacing w:val="4"/>
                <w:w w:val="73"/>
                <w:kern w:val="0"/>
                <w:sz w:val="21"/>
                <w:szCs w:val="21"/>
              </w:rPr>
              <w:t>月-----</w:t>
            </w:r>
            <w:r>
              <w:rPr>
                <w:rFonts w:hint="eastAsia" w:ascii="宋体" w:hAnsi="宋体"/>
                <w:spacing w:val="4"/>
                <w:w w:val="73"/>
                <w:kern w:val="0"/>
                <w:sz w:val="21"/>
                <w:szCs w:val="21"/>
                <w:u w:val="single"/>
              </w:rPr>
              <w:t xml:space="preserve">   </w:t>
            </w:r>
            <w:r>
              <w:rPr>
                <w:rFonts w:hint="eastAsia" w:ascii="宋体" w:hAnsi="宋体"/>
                <w:spacing w:val="4"/>
                <w:w w:val="73"/>
                <w:kern w:val="0"/>
                <w:sz w:val="21"/>
                <w:szCs w:val="21"/>
              </w:rPr>
              <w:t>年</w:t>
            </w:r>
            <w:r>
              <w:rPr>
                <w:rFonts w:hint="eastAsia" w:ascii="宋体" w:hAnsi="宋体"/>
                <w:spacing w:val="4"/>
                <w:w w:val="73"/>
                <w:kern w:val="0"/>
                <w:sz w:val="21"/>
                <w:szCs w:val="21"/>
                <w:u w:val="single"/>
              </w:rPr>
              <w:t xml:space="preserve">   </w:t>
            </w:r>
            <w:r>
              <w:rPr>
                <w:rFonts w:hint="eastAsia" w:ascii="宋体" w:hAnsi="宋体"/>
                <w:spacing w:val="4"/>
                <w:w w:val="73"/>
                <w:kern w:val="0"/>
                <w:sz w:val="21"/>
                <w:szCs w:val="21"/>
              </w:rPr>
              <w:t>月</w:t>
            </w:r>
            <w:r>
              <w:rPr>
                <w:rFonts w:hint="eastAsia" w:ascii="宋体" w:hAnsi="宋体"/>
                <w:spacing w:val="4"/>
                <w:w w:val="73"/>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r>
              <w:rPr>
                <w:rFonts w:hint="eastAsia" w:ascii="宋体" w:hAnsi="宋体"/>
                <w:spacing w:val="20"/>
                <w:kern w:val="0"/>
                <w:sz w:val="21"/>
                <w:szCs w:val="21"/>
              </w:rPr>
              <w:t>项目类</w:t>
            </w:r>
            <w:r>
              <w:rPr>
                <w:rFonts w:hint="eastAsia" w:ascii="宋体" w:hAnsi="宋体"/>
                <w:kern w:val="0"/>
                <w:sz w:val="21"/>
                <w:szCs w:val="21"/>
              </w:rPr>
              <w:t>型</w:t>
            </w:r>
          </w:p>
        </w:tc>
        <w:tc>
          <w:tcPr>
            <w:tcW w:w="2479" w:type="dxa"/>
            <w:gridSpan w:val="5"/>
            <w:vAlign w:val="center"/>
          </w:tcPr>
          <w:p>
            <w:pPr>
              <w:adjustRightInd w:val="0"/>
              <w:snapToGrid w:val="0"/>
              <w:jc w:val="center"/>
              <w:rPr>
                <w:rFonts w:ascii="宋体" w:hAnsi="宋体"/>
                <w:sz w:val="21"/>
                <w:szCs w:val="21"/>
              </w:rPr>
            </w:pPr>
            <w:r>
              <w:rPr>
                <w:rFonts w:hint="eastAsia" w:ascii="宋体" w:hAnsi="宋体"/>
                <w:spacing w:val="8"/>
                <w:w w:val="88"/>
                <w:kern w:val="0"/>
                <w:sz w:val="21"/>
                <w:szCs w:val="21"/>
              </w:rPr>
              <w:t>教学 / 科研 / 实</w:t>
            </w:r>
            <w:r>
              <w:rPr>
                <w:rFonts w:hint="eastAsia" w:ascii="宋体" w:hAnsi="宋体"/>
                <w:w w:val="88"/>
                <w:kern w:val="0"/>
                <w:sz w:val="21"/>
                <w:szCs w:val="21"/>
              </w:rPr>
              <w:t>训</w:t>
            </w:r>
          </w:p>
        </w:tc>
        <w:tc>
          <w:tcPr>
            <w:tcW w:w="1368" w:type="dxa"/>
            <w:gridSpan w:val="2"/>
            <w:vAlign w:val="center"/>
          </w:tcPr>
          <w:p>
            <w:pPr>
              <w:adjustRightInd w:val="0"/>
              <w:snapToGrid w:val="0"/>
              <w:jc w:val="center"/>
              <w:rPr>
                <w:rFonts w:ascii="宋体" w:hAnsi="宋体"/>
                <w:sz w:val="21"/>
                <w:szCs w:val="21"/>
              </w:rPr>
            </w:pPr>
            <w:r>
              <w:rPr>
                <w:rFonts w:hint="eastAsia" w:ascii="宋体" w:hAnsi="宋体"/>
                <w:spacing w:val="20"/>
                <w:kern w:val="0"/>
                <w:sz w:val="21"/>
                <w:szCs w:val="21"/>
              </w:rPr>
              <w:t>建设类</w:t>
            </w:r>
            <w:r>
              <w:rPr>
                <w:rFonts w:hint="eastAsia" w:ascii="宋体" w:hAnsi="宋体"/>
                <w:kern w:val="0"/>
                <w:sz w:val="21"/>
                <w:szCs w:val="21"/>
              </w:rPr>
              <w:t>别</w:t>
            </w:r>
          </w:p>
        </w:tc>
        <w:tc>
          <w:tcPr>
            <w:tcW w:w="3134" w:type="dxa"/>
            <w:gridSpan w:val="6"/>
            <w:vAlign w:val="center"/>
          </w:tcPr>
          <w:p>
            <w:pPr>
              <w:adjustRightInd w:val="0"/>
              <w:snapToGrid w:val="0"/>
              <w:jc w:val="center"/>
              <w:rPr>
                <w:rFonts w:ascii="宋体" w:hAnsi="宋体"/>
                <w:sz w:val="21"/>
                <w:szCs w:val="21"/>
              </w:rPr>
            </w:pPr>
            <w:r>
              <w:rPr>
                <w:rFonts w:hint="eastAsia" w:ascii="宋体" w:hAnsi="宋体"/>
                <w:w w:val="88"/>
                <w:kern w:val="0"/>
                <w:sz w:val="21"/>
                <w:szCs w:val="21"/>
              </w:rPr>
              <w:t>新建  /  改建  /  更</w:t>
            </w:r>
            <w:r>
              <w:rPr>
                <w:rFonts w:hint="eastAsia" w:ascii="宋体" w:hAnsi="宋体"/>
                <w:spacing w:val="14"/>
                <w:w w:val="88"/>
                <w:kern w:val="0"/>
                <w:sz w:val="21"/>
                <w:szCs w:val="21"/>
              </w:rPr>
              <w:t>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r>
              <w:rPr>
                <w:rFonts w:hint="eastAsia" w:ascii="宋体" w:hAnsi="宋体"/>
                <w:spacing w:val="20"/>
                <w:kern w:val="0"/>
                <w:sz w:val="21"/>
                <w:szCs w:val="21"/>
              </w:rPr>
              <w:t>建设经</w:t>
            </w:r>
            <w:r>
              <w:rPr>
                <w:rFonts w:hint="eastAsia" w:ascii="宋体" w:hAnsi="宋体"/>
                <w:kern w:val="0"/>
                <w:sz w:val="21"/>
                <w:szCs w:val="21"/>
              </w:rPr>
              <w:t>费</w:t>
            </w:r>
          </w:p>
        </w:tc>
        <w:tc>
          <w:tcPr>
            <w:tcW w:w="6981" w:type="dxa"/>
            <w:gridSpan w:val="13"/>
            <w:vAlign w:val="center"/>
          </w:tcPr>
          <w:p>
            <w:pPr>
              <w:adjustRightInd w:val="0"/>
              <w:snapToGrid w:val="0"/>
              <w:jc w:val="left"/>
              <w:rPr>
                <w:rFonts w:ascii="宋体" w:hAnsi="宋体"/>
                <w:sz w:val="21"/>
                <w:szCs w:val="21"/>
              </w:rPr>
            </w:pPr>
            <w:r>
              <w:rPr>
                <w:rFonts w:hint="eastAsia" w:ascii="宋体" w:hAnsi="宋体"/>
                <w:sz w:val="21"/>
                <w:szCs w:val="21"/>
              </w:rPr>
              <w:t>共计：</w:t>
            </w:r>
            <w:r>
              <w:rPr>
                <w:rFonts w:hint="eastAsia" w:ascii="宋体" w:hAnsi="宋体"/>
                <w:sz w:val="21"/>
                <w:szCs w:val="21"/>
                <w:u w:val="single"/>
              </w:rPr>
              <w:t xml:space="preserve">         </w:t>
            </w:r>
            <w:r>
              <w:rPr>
                <w:rFonts w:hint="eastAsia" w:ascii="宋体" w:hAnsi="宋体"/>
                <w:sz w:val="21"/>
                <w:szCs w:val="21"/>
              </w:rPr>
              <w:t>万元，其中，财政专项经费：</w:t>
            </w:r>
            <w:r>
              <w:rPr>
                <w:rFonts w:hint="eastAsia" w:ascii="宋体" w:hAnsi="宋体"/>
                <w:sz w:val="21"/>
                <w:szCs w:val="21"/>
                <w:u w:val="single"/>
              </w:rPr>
              <w:t xml:space="preserve">      </w:t>
            </w:r>
            <w:r>
              <w:rPr>
                <w:rFonts w:hint="eastAsia" w:ascii="宋体" w:hAnsi="宋体"/>
                <w:sz w:val="21"/>
                <w:szCs w:val="21"/>
              </w:rPr>
              <w:t>万元，学校自筹：</w:t>
            </w:r>
            <w:r>
              <w:rPr>
                <w:rFonts w:hint="eastAsia" w:ascii="宋体" w:hAnsi="宋体"/>
                <w:sz w:val="21"/>
                <w:szCs w:val="21"/>
                <w:u w:val="single"/>
              </w:rPr>
              <w:t xml:space="preserve">      </w:t>
            </w:r>
            <w:r>
              <w:rPr>
                <w:rFonts w:hint="eastAsia" w:ascii="宋体" w:hAnsi="宋体"/>
                <w:sz w:val="21"/>
                <w:szCs w:val="21"/>
              </w:rPr>
              <w:t>万元，其他：</w:t>
            </w:r>
            <w:r>
              <w:rPr>
                <w:rFonts w:hint="eastAsia" w:ascii="宋体" w:hAnsi="宋体"/>
                <w:sz w:val="21"/>
                <w:szCs w:val="21"/>
                <w:u w:val="single"/>
              </w:rPr>
              <w:t xml:space="preserve">      </w:t>
            </w: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r>
              <w:rPr>
                <w:rFonts w:hint="eastAsia" w:ascii="宋体" w:hAnsi="宋体"/>
                <w:spacing w:val="20"/>
                <w:kern w:val="0"/>
                <w:sz w:val="21"/>
                <w:szCs w:val="21"/>
              </w:rPr>
              <w:t>用房规</w:t>
            </w:r>
            <w:r>
              <w:rPr>
                <w:rFonts w:hint="eastAsia" w:ascii="宋体" w:hAnsi="宋体"/>
                <w:kern w:val="0"/>
                <w:sz w:val="21"/>
                <w:szCs w:val="21"/>
              </w:rPr>
              <w:t>划</w:t>
            </w:r>
          </w:p>
        </w:tc>
        <w:tc>
          <w:tcPr>
            <w:tcW w:w="6981" w:type="dxa"/>
            <w:gridSpan w:val="13"/>
            <w:vAlign w:val="center"/>
          </w:tcPr>
          <w:p>
            <w:pPr>
              <w:adjustRightInd w:val="0"/>
              <w:snapToGrid w:val="0"/>
              <w:jc w:val="left"/>
              <w:rPr>
                <w:rFonts w:ascii="宋体" w:hAnsi="宋体"/>
                <w:sz w:val="21"/>
                <w:szCs w:val="21"/>
              </w:rPr>
            </w:pPr>
            <w:r>
              <w:rPr>
                <w:rFonts w:hint="eastAsia" w:ascii="宋体" w:hAnsi="宋体"/>
                <w:spacing w:val="10"/>
                <w:w w:val="84"/>
                <w:kern w:val="0"/>
                <w:sz w:val="21"/>
                <w:szCs w:val="21"/>
              </w:rPr>
              <w:t>规划用房：</w:t>
            </w:r>
            <w:r>
              <w:rPr>
                <w:rFonts w:hint="eastAsia" w:ascii="宋体" w:hAnsi="宋体"/>
                <w:spacing w:val="10"/>
                <w:w w:val="84"/>
                <w:kern w:val="0"/>
                <w:sz w:val="21"/>
                <w:szCs w:val="21"/>
                <w:u w:val="single"/>
              </w:rPr>
              <w:t xml:space="preserve">       </w:t>
            </w:r>
            <w:r>
              <w:rPr>
                <w:rFonts w:hint="eastAsia" w:ascii="宋体" w:hAnsi="宋体"/>
                <w:spacing w:val="10"/>
                <w:w w:val="84"/>
                <w:kern w:val="0"/>
                <w:sz w:val="21"/>
                <w:szCs w:val="21"/>
              </w:rPr>
              <w:t>平方，现有用房：</w:t>
            </w:r>
            <w:r>
              <w:rPr>
                <w:rFonts w:hint="eastAsia" w:ascii="宋体" w:hAnsi="宋体"/>
                <w:spacing w:val="10"/>
                <w:w w:val="84"/>
                <w:kern w:val="0"/>
                <w:sz w:val="21"/>
                <w:szCs w:val="21"/>
                <w:u w:val="single"/>
              </w:rPr>
              <w:t xml:space="preserve">       </w:t>
            </w:r>
            <w:r>
              <w:rPr>
                <w:rFonts w:hint="eastAsia" w:ascii="宋体" w:hAnsi="宋体"/>
                <w:spacing w:val="10"/>
                <w:w w:val="84"/>
                <w:kern w:val="0"/>
                <w:sz w:val="21"/>
                <w:szCs w:val="21"/>
              </w:rPr>
              <w:t>平</w:t>
            </w:r>
            <w:r>
              <w:rPr>
                <w:rFonts w:hint="eastAsia" w:ascii="宋体" w:hAnsi="宋体"/>
                <w:spacing w:val="9"/>
                <w:w w:val="84"/>
                <w:kern w:val="0"/>
                <w:sz w:val="21"/>
                <w:szCs w:val="21"/>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03" w:type="dxa"/>
            <w:vMerge w:val="restart"/>
            <w:vAlign w:val="center"/>
          </w:tcPr>
          <w:p>
            <w:pPr>
              <w:adjustRightInd w:val="0"/>
              <w:snapToGrid w:val="0"/>
              <w:jc w:val="center"/>
              <w:rPr>
                <w:rFonts w:ascii="宋体" w:hAnsi="宋体"/>
                <w:sz w:val="21"/>
                <w:szCs w:val="21"/>
              </w:rPr>
            </w:pPr>
            <w:r>
              <w:rPr>
                <w:rFonts w:hint="eastAsia" w:ascii="宋体" w:hAnsi="宋体"/>
                <w:sz w:val="21"/>
                <w:szCs w:val="21"/>
              </w:rPr>
              <w:t>项目负责人及主要参与人员</w:t>
            </w:r>
          </w:p>
        </w:tc>
        <w:tc>
          <w:tcPr>
            <w:tcW w:w="1276" w:type="dxa"/>
            <w:gridSpan w:val="3"/>
            <w:vAlign w:val="center"/>
          </w:tcPr>
          <w:p>
            <w:pPr>
              <w:jc w:val="center"/>
              <w:rPr>
                <w:rFonts w:ascii="宋体" w:hAnsi="宋体"/>
                <w:sz w:val="21"/>
                <w:szCs w:val="21"/>
              </w:rPr>
            </w:pPr>
            <w:r>
              <w:rPr>
                <w:rFonts w:hint="eastAsia" w:ascii="宋体" w:hAnsi="宋体"/>
                <w:spacing w:val="12"/>
                <w:w w:val="78"/>
                <w:kern w:val="0"/>
                <w:sz w:val="21"/>
                <w:szCs w:val="21"/>
              </w:rPr>
              <w:t xml:space="preserve">姓   </w:t>
            </w:r>
            <w:r>
              <w:rPr>
                <w:rFonts w:hint="eastAsia" w:ascii="宋体" w:hAnsi="宋体"/>
                <w:spacing w:val="-2"/>
                <w:w w:val="78"/>
                <w:kern w:val="0"/>
                <w:sz w:val="21"/>
                <w:szCs w:val="21"/>
              </w:rPr>
              <w:t>名</w:t>
            </w:r>
          </w:p>
        </w:tc>
        <w:tc>
          <w:tcPr>
            <w:tcW w:w="708" w:type="dxa"/>
            <w:gridSpan w:val="2"/>
            <w:vAlign w:val="center"/>
          </w:tcPr>
          <w:p>
            <w:pPr>
              <w:jc w:val="center"/>
              <w:rPr>
                <w:rFonts w:ascii="宋体" w:hAnsi="宋体"/>
                <w:sz w:val="21"/>
                <w:szCs w:val="21"/>
              </w:rPr>
            </w:pPr>
            <w:r>
              <w:rPr>
                <w:rFonts w:hint="eastAsia" w:ascii="宋体" w:hAnsi="宋体"/>
                <w:spacing w:val="60"/>
                <w:kern w:val="0"/>
                <w:sz w:val="21"/>
                <w:szCs w:val="21"/>
              </w:rPr>
              <w:t>性</w:t>
            </w:r>
            <w:r>
              <w:rPr>
                <w:rFonts w:hint="eastAsia" w:ascii="宋体" w:hAnsi="宋体"/>
                <w:spacing w:val="-30"/>
                <w:kern w:val="0"/>
                <w:sz w:val="21"/>
                <w:szCs w:val="21"/>
              </w:rPr>
              <w:t>别</w:t>
            </w:r>
          </w:p>
        </w:tc>
        <w:tc>
          <w:tcPr>
            <w:tcW w:w="1771" w:type="dxa"/>
            <w:gridSpan w:val="3"/>
            <w:vAlign w:val="center"/>
          </w:tcPr>
          <w:p>
            <w:pPr>
              <w:jc w:val="center"/>
              <w:rPr>
                <w:rFonts w:ascii="宋体" w:hAnsi="宋体"/>
                <w:sz w:val="21"/>
                <w:szCs w:val="21"/>
              </w:rPr>
            </w:pPr>
            <w:r>
              <w:rPr>
                <w:rFonts w:hint="eastAsia" w:ascii="宋体" w:hAnsi="宋体"/>
                <w:spacing w:val="20"/>
                <w:kern w:val="0"/>
                <w:sz w:val="21"/>
                <w:szCs w:val="21"/>
              </w:rPr>
              <w:t>职称/职</w:t>
            </w:r>
            <w:r>
              <w:rPr>
                <w:rFonts w:hint="eastAsia" w:ascii="宋体" w:hAnsi="宋体"/>
                <w:spacing w:val="-29"/>
                <w:kern w:val="0"/>
                <w:sz w:val="21"/>
                <w:szCs w:val="21"/>
              </w:rPr>
              <w:t>务</w:t>
            </w:r>
          </w:p>
        </w:tc>
        <w:tc>
          <w:tcPr>
            <w:tcW w:w="1368" w:type="dxa"/>
            <w:gridSpan w:val="2"/>
            <w:vAlign w:val="center"/>
          </w:tcPr>
          <w:p>
            <w:pPr>
              <w:jc w:val="center"/>
              <w:rPr>
                <w:rFonts w:ascii="宋体" w:hAnsi="宋体"/>
                <w:sz w:val="21"/>
                <w:szCs w:val="21"/>
              </w:rPr>
            </w:pPr>
            <w:r>
              <w:rPr>
                <w:rFonts w:hint="eastAsia" w:ascii="宋体" w:hAnsi="宋体"/>
                <w:spacing w:val="60"/>
                <w:kern w:val="0"/>
                <w:sz w:val="21"/>
                <w:szCs w:val="21"/>
              </w:rPr>
              <w:t>专</w:t>
            </w:r>
            <w:r>
              <w:rPr>
                <w:rFonts w:hint="eastAsia" w:ascii="宋体" w:hAnsi="宋体"/>
                <w:spacing w:val="-30"/>
                <w:kern w:val="0"/>
                <w:sz w:val="21"/>
                <w:szCs w:val="21"/>
              </w:rPr>
              <w:t>业</w:t>
            </w:r>
          </w:p>
        </w:tc>
        <w:tc>
          <w:tcPr>
            <w:tcW w:w="1414" w:type="dxa"/>
            <w:gridSpan w:val="3"/>
            <w:vAlign w:val="center"/>
          </w:tcPr>
          <w:p>
            <w:pPr>
              <w:jc w:val="center"/>
              <w:rPr>
                <w:rFonts w:ascii="宋体" w:hAnsi="宋体"/>
                <w:sz w:val="21"/>
                <w:szCs w:val="21"/>
              </w:rPr>
            </w:pPr>
            <w:r>
              <w:rPr>
                <w:rFonts w:hint="eastAsia" w:ascii="宋体" w:hAnsi="宋体"/>
                <w:spacing w:val="20"/>
                <w:kern w:val="0"/>
                <w:sz w:val="21"/>
                <w:szCs w:val="21"/>
              </w:rPr>
              <w:t>所在部</w:t>
            </w:r>
            <w:r>
              <w:rPr>
                <w:rFonts w:hint="eastAsia" w:ascii="宋体" w:hAnsi="宋体"/>
                <w:kern w:val="0"/>
                <w:sz w:val="21"/>
                <w:szCs w:val="21"/>
              </w:rPr>
              <w:t>门</w:t>
            </w:r>
          </w:p>
        </w:tc>
        <w:tc>
          <w:tcPr>
            <w:tcW w:w="1720" w:type="dxa"/>
            <w:gridSpan w:val="3"/>
            <w:vAlign w:val="center"/>
          </w:tcPr>
          <w:p>
            <w:pPr>
              <w:jc w:val="center"/>
              <w:rPr>
                <w:rFonts w:ascii="宋体" w:hAnsi="宋体"/>
                <w:sz w:val="21"/>
                <w:szCs w:val="21"/>
              </w:rPr>
            </w:pPr>
            <w:r>
              <w:rPr>
                <w:rFonts w:hint="eastAsia" w:ascii="宋体" w:hAnsi="宋体"/>
                <w:spacing w:val="20"/>
                <w:kern w:val="0"/>
                <w:sz w:val="21"/>
                <w:szCs w:val="21"/>
              </w:rPr>
              <w:t>承担任</w:t>
            </w:r>
            <w:r>
              <w:rPr>
                <w:rFonts w:hint="eastAsia" w:ascii="宋体" w:hAnsi="宋体"/>
                <w:kern w:val="0"/>
                <w:sz w:val="21"/>
                <w:szCs w:val="21"/>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p>
        </w:tc>
        <w:tc>
          <w:tcPr>
            <w:tcW w:w="708" w:type="dxa"/>
            <w:gridSpan w:val="2"/>
            <w:vAlign w:val="center"/>
          </w:tcPr>
          <w:p>
            <w:pPr>
              <w:adjustRightInd w:val="0"/>
              <w:snapToGrid w:val="0"/>
              <w:jc w:val="center"/>
              <w:rPr>
                <w:rFonts w:ascii="宋体" w:hAnsi="宋体"/>
                <w:sz w:val="21"/>
                <w:szCs w:val="21"/>
              </w:rPr>
            </w:pPr>
          </w:p>
        </w:tc>
        <w:tc>
          <w:tcPr>
            <w:tcW w:w="1771" w:type="dxa"/>
            <w:gridSpan w:val="3"/>
            <w:vAlign w:val="center"/>
          </w:tcPr>
          <w:p>
            <w:pPr>
              <w:adjustRightInd w:val="0"/>
              <w:snapToGrid w:val="0"/>
              <w:jc w:val="center"/>
              <w:rPr>
                <w:rFonts w:ascii="宋体" w:hAnsi="宋体"/>
                <w:sz w:val="21"/>
                <w:szCs w:val="21"/>
              </w:rPr>
            </w:pPr>
          </w:p>
        </w:tc>
        <w:tc>
          <w:tcPr>
            <w:tcW w:w="1368" w:type="dxa"/>
            <w:gridSpan w:val="2"/>
            <w:vAlign w:val="center"/>
          </w:tcPr>
          <w:p>
            <w:pPr>
              <w:adjustRightInd w:val="0"/>
              <w:snapToGrid w:val="0"/>
              <w:jc w:val="center"/>
              <w:rPr>
                <w:rFonts w:ascii="宋体" w:hAnsi="宋体"/>
                <w:sz w:val="21"/>
                <w:szCs w:val="21"/>
              </w:rPr>
            </w:pPr>
          </w:p>
        </w:tc>
        <w:tc>
          <w:tcPr>
            <w:tcW w:w="1414" w:type="dxa"/>
            <w:gridSpan w:val="3"/>
            <w:vAlign w:val="center"/>
          </w:tcPr>
          <w:p>
            <w:pPr>
              <w:adjustRightInd w:val="0"/>
              <w:snapToGrid w:val="0"/>
              <w:jc w:val="center"/>
              <w:rPr>
                <w:rFonts w:ascii="宋体" w:hAnsi="宋体"/>
                <w:sz w:val="21"/>
                <w:szCs w:val="21"/>
              </w:rPr>
            </w:pPr>
          </w:p>
        </w:tc>
        <w:tc>
          <w:tcPr>
            <w:tcW w:w="1720" w:type="dxa"/>
            <w:gridSpan w:val="3"/>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p>
        </w:tc>
        <w:tc>
          <w:tcPr>
            <w:tcW w:w="708" w:type="dxa"/>
            <w:gridSpan w:val="2"/>
            <w:vAlign w:val="center"/>
          </w:tcPr>
          <w:p>
            <w:pPr>
              <w:adjustRightInd w:val="0"/>
              <w:snapToGrid w:val="0"/>
              <w:jc w:val="center"/>
              <w:rPr>
                <w:rFonts w:ascii="宋体" w:hAnsi="宋体"/>
                <w:sz w:val="21"/>
                <w:szCs w:val="21"/>
              </w:rPr>
            </w:pPr>
          </w:p>
        </w:tc>
        <w:tc>
          <w:tcPr>
            <w:tcW w:w="1771" w:type="dxa"/>
            <w:gridSpan w:val="3"/>
            <w:vAlign w:val="center"/>
          </w:tcPr>
          <w:p>
            <w:pPr>
              <w:adjustRightInd w:val="0"/>
              <w:snapToGrid w:val="0"/>
              <w:jc w:val="center"/>
              <w:rPr>
                <w:rFonts w:ascii="宋体" w:hAnsi="宋体"/>
                <w:sz w:val="21"/>
                <w:szCs w:val="21"/>
              </w:rPr>
            </w:pPr>
          </w:p>
        </w:tc>
        <w:tc>
          <w:tcPr>
            <w:tcW w:w="1368" w:type="dxa"/>
            <w:gridSpan w:val="2"/>
            <w:vAlign w:val="center"/>
          </w:tcPr>
          <w:p>
            <w:pPr>
              <w:adjustRightInd w:val="0"/>
              <w:snapToGrid w:val="0"/>
              <w:jc w:val="center"/>
              <w:rPr>
                <w:rFonts w:ascii="宋体" w:hAnsi="宋体"/>
                <w:sz w:val="21"/>
                <w:szCs w:val="21"/>
              </w:rPr>
            </w:pPr>
          </w:p>
        </w:tc>
        <w:tc>
          <w:tcPr>
            <w:tcW w:w="1414" w:type="dxa"/>
            <w:gridSpan w:val="3"/>
            <w:vAlign w:val="center"/>
          </w:tcPr>
          <w:p>
            <w:pPr>
              <w:adjustRightInd w:val="0"/>
              <w:snapToGrid w:val="0"/>
              <w:jc w:val="center"/>
              <w:rPr>
                <w:rFonts w:ascii="宋体" w:hAnsi="宋体"/>
                <w:sz w:val="21"/>
                <w:szCs w:val="21"/>
              </w:rPr>
            </w:pPr>
          </w:p>
        </w:tc>
        <w:tc>
          <w:tcPr>
            <w:tcW w:w="1720" w:type="dxa"/>
            <w:gridSpan w:val="3"/>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p>
        </w:tc>
        <w:tc>
          <w:tcPr>
            <w:tcW w:w="708" w:type="dxa"/>
            <w:gridSpan w:val="2"/>
            <w:vAlign w:val="center"/>
          </w:tcPr>
          <w:p>
            <w:pPr>
              <w:adjustRightInd w:val="0"/>
              <w:snapToGrid w:val="0"/>
              <w:jc w:val="center"/>
              <w:rPr>
                <w:rFonts w:ascii="宋体" w:hAnsi="宋体"/>
                <w:sz w:val="21"/>
                <w:szCs w:val="21"/>
              </w:rPr>
            </w:pPr>
          </w:p>
        </w:tc>
        <w:tc>
          <w:tcPr>
            <w:tcW w:w="1771" w:type="dxa"/>
            <w:gridSpan w:val="3"/>
            <w:vAlign w:val="center"/>
          </w:tcPr>
          <w:p>
            <w:pPr>
              <w:adjustRightInd w:val="0"/>
              <w:snapToGrid w:val="0"/>
              <w:jc w:val="center"/>
              <w:rPr>
                <w:rFonts w:ascii="宋体" w:hAnsi="宋体"/>
                <w:sz w:val="21"/>
                <w:szCs w:val="21"/>
              </w:rPr>
            </w:pPr>
          </w:p>
        </w:tc>
        <w:tc>
          <w:tcPr>
            <w:tcW w:w="1368" w:type="dxa"/>
            <w:gridSpan w:val="2"/>
            <w:vAlign w:val="center"/>
          </w:tcPr>
          <w:p>
            <w:pPr>
              <w:adjustRightInd w:val="0"/>
              <w:snapToGrid w:val="0"/>
              <w:jc w:val="center"/>
              <w:rPr>
                <w:rFonts w:ascii="宋体" w:hAnsi="宋体"/>
                <w:sz w:val="21"/>
                <w:szCs w:val="21"/>
              </w:rPr>
            </w:pPr>
          </w:p>
        </w:tc>
        <w:tc>
          <w:tcPr>
            <w:tcW w:w="1414" w:type="dxa"/>
            <w:gridSpan w:val="3"/>
            <w:vAlign w:val="center"/>
          </w:tcPr>
          <w:p>
            <w:pPr>
              <w:adjustRightInd w:val="0"/>
              <w:snapToGrid w:val="0"/>
              <w:jc w:val="center"/>
              <w:rPr>
                <w:rFonts w:ascii="宋体" w:hAnsi="宋体"/>
                <w:sz w:val="21"/>
                <w:szCs w:val="21"/>
              </w:rPr>
            </w:pPr>
          </w:p>
        </w:tc>
        <w:tc>
          <w:tcPr>
            <w:tcW w:w="1720" w:type="dxa"/>
            <w:gridSpan w:val="3"/>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03" w:type="dxa"/>
            <w:vMerge w:val="continue"/>
            <w:vAlign w:val="center"/>
          </w:tcPr>
          <w:p>
            <w:pPr>
              <w:adjustRightInd w:val="0"/>
              <w:snapToGrid w:val="0"/>
              <w:jc w:val="center"/>
              <w:rPr>
                <w:rFonts w:ascii="宋体" w:hAnsi="宋体"/>
                <w:sz w:val="21"/>
                <w:szCs w:val="21"/>
              </w:rPr>
            </w:pPr>
          </w:p>
        </w:tc>
        <w:tc>
          <w:tcPr>
            <w:tcW w:w="1276" w:type="dxa"/>
            <w:gridSpan w:val="3"/>
            <w:vAlign w:val="center"/>
          </w:tcPr>
          <w:p>
            <w:pPr>
              <w:adjustRightInd w:val="0"/>
              <w:snapToGrid w:val="0"/>
              <w:jc w:val="center"/>
              <w:rPr>
                <w:rFonts w:ascii="宋体" w:hAnsi="宋体"/>
                <w:sz w:val="21"/>
                <w:szCs w:val="21"/>
              </w:rPr>
            </w:pPr>
          </w:p>
        </w:tc>
        <w:tc>
          <w:tcPr>
            <w:tcW w:w="708" w:type="dxa"/>
            <w:gridSpan w:val="2"/>
            <w:vAlign w:val="center"/>
          </w:tcPr>
          <w:p>
            <w:pPr>
              <w:adjustRightInd w:val="0"/>
              <w:snapToGrid w:val="0"/>
              <w:jc w:val="center"/>
              <w:rPr>
                <w:rFonts w:ascii="宋体" w:hAnsi="宋体"/>
                <w:sz w:val="21"/>
                <w:szCs w:val="21"/>
              </w:rPr>
            </w:pPr>
          </w:p>
        </w:tc>
        <w:tc>
          <w:tcPr>
            <w:tcW w:w="1771" w:type="dxa"/>
            <w:gridSpan w:val="3"/>
            <w:vAlign w:val="center"/>
          </w:tcPr>
          <w:p>
            <w:pPr>
              <w:adjustRightInd w:val="0"/>
              <w:snapToGrid w:val="0"/>
              <w:jc w:val="center"/>
              <w:rPr>
                <w:rFonts w:ascii="宋体" w:hAnsi="宋体"/>
                <w:sz w:val="21"/>
                <w:szCs w:val="21"/>
              </w:rPr>
            </w:pPr>
          </w:p>
        </w:tc>
        <w:tc>
          <w:tcPr>
            <w:tcW w:w="1368" w:type="dxa"/>
            <w:gridSpan w:val="2"/>
            <w:vAlign w:val="center"/>
          </w:tcPr>
          <w:p>
            <w:pPr>
              <w:adjustRightInd w:val="0"/>
              <w:snapToGrid w:val="0"/>
              <w:jc w:val="center"/>
              <w:rPr>
                <w:rFonts w:ascii="宋体" w:hAnsi="宋体"/>
                <w:sz w:val="21"/>
                <w:szCs w:val="21"/>
              </w:rPr>
            </w:pPr>
          </w:p>
        </w:tc>
        <w:tc>
          <w:tcPr>
            <w:tcW w:w="1414" w:type="dxa"/>
            <w:gridSpan w:val="3"/>
            <w:vAlign w:val="center"/>
          </w:tcPr>
          <w:p>
            <w:pPr>
              <w:adjustRightInd w:val="0"/>
              <w:snapToGrid w:val="0"/>
              <w:jc w:val="center"/>
              <w:rPr>
                <w:rFonts w:ascii="宋体" w:hAnsi="宋体"/>
                <w:sz w:val="21"/>
                <w:szCs w:val="21"/>
              </w:rPr>
            </w:pPr>
          </w:p>
        </w:tc>
        <w:tc>
          <w:tcPr>
            <w:tcW w:w="1720" w:type="dxa"/>
            <w:gridSpan w:val="3"/>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360" w:type="dxa"/>
            <w:gridSpan w:val="17"/>
          </w:tcPr>
          <w:p>
            <w:pPr>
              <w:numPr>
                <w:ilvl w:val="0"/>
                <w:numId w:val="9"/>
              </w:numPr>
              <w:adjustRightInd w:val="0"/>
              <w:snapToGrid w:val="0"/>
              <w:jc w:val="left"/>
              <w:rPr>
                <w:rFonts w:ascii="宋体" w:hAnsi="宋体"/>
                <w:b/>
                <w:sz w:val="21"/>
                <w:szCs w:val="21"/>
              </w:rPr>
            </w:pPr>
            <w:r>
              <w:rPr>
                <w:rFonts w:hint="eastAsia" w:ascii="宋体" w:hAnsi="宋体"/>
                <w:b/>
                <w:spacing w:val="16"/>
                <w:kern w:val="0"/>
                <w:sz w:val="21"/>
                <w:szCs w:val="21"/>
              </w:rPr>
              <w:t>项目建设必要性和可行</w:t>
            </w:r>
            <w:r>
              <w:rPr>
                <w:rFonts w:hint="eastAsia" w:ascii="宋体" w:hAnsi="宋体"/>
                <w:b/>
                <w:spacing w:val="5"/>
                <w:kern w:val="0"/>
                <w:sz w:val="21"/>
                <w:szCs w:val="21"/>
              </w:rPr>
              <w:t>性</w:t>
            </w: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2" w:hRule="atLeast"/>
          <w:jc w:val="center"/>
        </w:trPr>
        <w:tc>
          <w:tcPr>
            <w:tcW w:w="9360" w:type="dxa"/>
            <w:gridSpan w:val="17"/>
          </w:tcPr>
          <w:p>
            <w:pPr>
              <w:adjustRightInd w:val="0"/>
              <w:snapToGrid w:val="0"/>
              <w:jc w:val="left"/>
              <w:rPr>
                <w:rFonts w:ascii="宋体" w:hAnsi="宋体"/>
                <w:b/>
                <w:sz w:val="21"/>
                <w:szCs w:val="21"/>
              </w:rPr>
            </w:pPr>
            <w:r>
              <w:rPr>
                <w:rFonts w:hint="eastAsia" w:ascii="宋体" w:hAnsi="宋体"/>
                <w:b/>
                <w:spacing w:val="15"/>
                <w:w w:val="98"/>
                <w:kern w:val="0"/>
                <w:sz w:val="21"/>
                <w:szCs w:val="21"/>
              </w:rPr>
              <w:t>2.现有基础（主要包括用房与实验开出情况等）</w:t>
            </w:r>
            <w:r>
              <w:rPr>
                <w:rFonts w:hint="eastAsia" w:ascii="宋体" w:hAnsi="宋体"/>
                <w:b/>
                <w:spacing w:val="6"/>
                <w:w w:val="98"/>
                <w:kern w:val="0"/>
                <w:sz w:val="21"/>
                <w:szCs w:val="21"/>
              </w:rPr>
              <w:t xml:space="preserve"> </w:t>
            </w:r>
          </w:p>
          <w:p>
            <w:pPr>
              <w:adjustRightInd w:val="0"/>
              <w:snapToGrid w:val="0"/>
              <w:spacing w:line="360" w:lineRule="auto"/>
              <w:ind w:left="509" w:hanging="507" w:hangingChars="250"/>
              <w:jc w:val="left"/>
              <w:rPr>
                <w:rFonts w:ascii="宋体" w:hAnsi="宋体"/>
                <w:sz w:val="21"/>
                <w:szCs w:val="21"/>
              </w:rPr>
            </w:pPr>
            <w:r>
              <w:rPr>
                <w:rFonts w:hint="eastAsia" w:ascii="宋体" w:hAnsi="宋体"/>
                <w:w w:val="97"/>
                <w:kern w:val="0"/>
                <w:sz w:val="21"/>
                <w:szCs w:val="21"/>
              </w:rPr>
              <w:t>（1）现有用房：    号楼      房间，面积：      平方米</w:t>
            </w:r>
            <w:r>
              <w:rPr>
                <w:rFonts w:hint="eastAsia" w:ascii="宋体" w:hAnsi="宋体"/>
                <w:spacing w:val="42"/>
                <w:w w:val="97"/>
                <w:kern w:val="0"/>
                <w:sz w:val="21"/>
                <w:szCs w:val="21"/>
              </w:rPr>
              <w:t>；</w:t>
            </w:r>
          </w:p>
          <w:p>
            <w:pPr>
              <w:adjustRightInd w:val="0"/>
              <w:snapToGrid w:val="0"/>
              <w:spacing w:line="360" w:lineRule="auto"/>
              <w:ind w:left="513" w:hanging="512" w:hangingChars="250"/>
              <w:jc w:val="left"/>
              <w:rPr>
                <w:rFonts w:ascii="宋体" w:hAnsi="宋体"/>
                <w:sz w:val="21"/>
                <w:szCs w:val="21"/>
              </w:rPr>
            </w:pPr>
            <w:r>
              <w:rPr>
                <w:rFonts w:hint="eastAsia" w:ascii="宋体" w:hAnsi="宋体"/>
                <w:w w:val="98"/>
                <w:kern w:val="0"/>
                <w:sz w:val="21"/>
                <w:szCs w:val="21"/>
              </w:rPr>
              <w:t xml:space="preserve">     规划用房：    平方米，新增用房是否已落实：是 / 否，   号楼    房间。</w:t>
            </w:r>
            <w:r>
              <w:rPr>
                <w:rFonts w:hint="eastAsia" w:ascii="宋体" w:hAnsi="宋体"/>
                <w:spacing w:val="139"/>
                <w:w w:val="98"/>
                <w:kern w:val="0"/>
                <w:sz w:val="21"/>
                <w:szCs w:val="21"/>
              </w:rPr>
              <w:t xml:space="preserve"> </w:t>
            </w:r>
          </w:p>
          <w:p>
            <w:pPr>
              <w:adjustRightInd w:val="0"/>
              <w:snapToGrid w:val="0"/>
              <w:jc w:val="left"/>
              <w:rPr>
                <w:rFonts w:ascii="宋体" w:hAnsi="宋体"/>
                <w:sz w:val="21"/>
                <w:szCs w:val="21"/>
              </w:rPr>
            </w:pPr>
            <w:r>
              <w:rPr>
                <w:rFonts w:hint="eastAsia" w:ascii="宋体" w:hAnsi="宋体"/>
                <w:spacing w:val="17"/>
                <w:kern w:val="0"/>
                <w:sz w:val="21"/>
                <w:szCs w:val="21"/>
              </w:rPr>
              <w:t>（2）实验开出情况</w:t>
            </w:r>
            <w:r>
              <w:rPr>
                <w:rFonts w:hint="eastAsia" w:ascii="宋体" w:hAnsi="宋体"/>
                <w:spacing w:val="-2"/>
                <w:kern w:val="0"/>
                <w:sz w:val="21"/>
                <w:szCs w:val="21"/>
              </w:rPr>
              <w:t>：</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843"/>
              <w:gridCol w:w="1276"/>
              <w:gridCol w:w="1843"/>
              <w:gridCol w:w="1275"/>
              <w:gridCol w:w="2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705" w:type="dxa"/>
                  <w:tcBorders>
                    <w:right w:val="single" w:color="auto" w:sz="4" w:space="0"/>
                  </w:tcBorders>
                  <w:vAlign w:val="center"/>
                </w:tcPr>
                <w:p>
                  <w:pPr>
                    <w:jc w:val="center"/>
                    <w:rPr>
                      <w:rFonts w:ascii="宋体" w:hAnsi="宋体"/>
                      <w:b/>
                      <w:sz w:val="21"/>
                      <w:szCs w:val="21"/>
                    </w:rPr>
                  </w:pPr>
                  <w:r>
                    <w:rPr>
                      <w:rFonts w:hint="eastAsia" w:ascii="宋体" w:hAnsi="宋体"/>
                      <w:b/>
                      <w:kern w:val="0"/>
                      <w:sz w:val="21"/>
                      <w:szCs w:val="21"/>
                    </w:rPr>
                    <w:t>序号</w:t>
                  </w:r>
                </w:p>
              </w:tc>
              <w:tc>
                <w:tcPr>
                  <w:tcW w:w="1843" w:type="dxa"/>
                  <w:tcBorders>
                    <w:left w:val="single" w:color="auto" w:sz="4" w:space="0"/>
                  </w:tcBorders>
                  <w:vAlign w:val="center"/>
                </w:tcPr>
                <w:p>
                  <w:pPr>
                    <w:jc w:val="center"/>
                    <w:rPr>
                      <w:rFonts w:ascii="宋体" w:hAnsi="宋体"/>
                      <w:b/>
                      <w:sz w:val="21"/>
                      <w:szCs w:val="21"/>
                    </w:rPr>
                  </w:pPr>
                  <w:r>
                    <w:rPr>
                      <w:rFonts w:hint="eastAsia" w:ascii="宋体" w:hAnsi="宋体"/>
                      <w:b/>
                      <w:kern w:val="0"/>
                      <w:sz w:val="21"/>
                      <w:szCs w:val="21"/>
                    </w:rPr>
                    <w:t>实验（实训）名称</w:t>
                  </w:r>
                </w:p>
              </w:tc>
              <w:tc>
                <w:tcPr>
                  <w:tcW w:w="1276" w:type="dxa"/>
                  <w:vAlign w:val="center"/>
                </w:tcPr>
                <w:p>
                  <w:pPr>
                    <w:adjustRightInd w:val="0"/>
                    <w:snapToGrid w:val="0"/>
                    <w:jc w:val="center"/>
                    <w:rPr>
                      <w:rFonts w:ascii="宋体" w:hAnsi="宋体"/>
                      <w:b/>
                      <w:sz w:val="21"/>
                      <w:szCs w:val="21"/>
                    </w:rPr>
                  </w:pPr>
                  <w:r>
                    <w:rPr>
                      <w:rFonts w:hint="eastAsia" w:ascii="宋体" w:hAnsi="宋体"/>
                      <w:b/>
                      <w:kern w:val="0"/>
                      <w:sz w:val="21"/>
                      <w:szCs w:val="21"/>
                    </w:rPr>
                    <w:t>所属课程</w:t>
                  </w:r>
                </w:p>
              </w:tc>
              <w:tc>
                <w:tcPr>
                  <w:tcW w:w="1843" w:type="dxa"/>
                  <w:vAlign w:val="center"/>
                </w:tcPr>
                <w:p>
                  <w:pPr>
                    <w:adjustRightInd w:val="0"/>
                    <w:snapToGrid w:val="0"/>
                    <w:jc w:val="center"/>
                    <w:rPr>
                      <w:rFonts w:ascii="宋体" w:hAnsi="宋体"/>
                      <w:b/>
                      <w:sz w:val="21"/>
                      <w:szCs w:val="21"/>
                    </w:rPr>
                  </w:pPr>
                  <w:r>
                    <w:rPr>
                      <w:rFonts w:hint="eastAsia" w:ascii="宋体" w:hAnsi="宋体"/>
                      <w:b/>
                      <w:kern w:val="0"/>
                      <w:sz w:val="21"/>
                      <w:szCs w:val="21"/>
                    </w:rPr>
                    <w:t>面向专业</w:t>
                  </w:r>
                </w:p>
                <w:p>
                  <w:pPr>
                    <w:adjustRightInd w:val="0"/>
                    <w:snapToGrid w:val="0"/>
                    <w:jc w:val="center"/>
                    <w:rPr>
                      <w:rFonts w:ascii="宋体" w:hAnsi="宋体"/>
                      <w:b/>
                      <w:sz w:val="21"/>
                      <w:szCs w:val="21"/>
                    </w:rPr>
                  </w:pPr>
                  <w:r>
                    <w:rPr>
                      <w:rFonts w:hint="eastAsia" w:ascii="宋体" w:hAnsi="宋体"/>
                      <w:b/>
                      <w:w w:val="84"/>
                      <w:kern w:val="0"/>
                      <w:sz w:val="21"/>
                      <w:szCs w:val="21"/>
                    </w:rPr>
                    <w:t xml:space="preserve"> /年</w:t>
                  </w:r>
                  <w:r>
                    <w:rPr>
                      <w:rFonts w:hint="eastAsia" w:ascii="宋体" w:hAnsi="宋体"/>
                      <w:b/>
                      <w:spacing w:val="1"/>
                      <w:w w:val="84"/>
                      <w:kern w:val="0"/>
                      <w:sz w:val="21"/>
                      <w:szCs w:val="21"/>
                    </w:rPr>
                    <w:t>级</w:t>
                  </w:r>
                </w:p>
              </w:tc>
              <w:tc>
                <w:tcPr>
                  <w:tcW w:w="1275" w:type="dxa"/>
                  <w:vAlign w:val="center"/>
                </w:tcPr>
                <w:p>
                  <w:pPr>
                    <w:adjustRightInd w:val="0"/>
                    <w:snapToGrid w:val="0"/>
                    <w:jc w:val="center"/>
                    <w:rPr>
                      <w:rFonts w:ascii="宋体" w:hAnsi="宋体"/>
                      <w:b/>
                      <w:sz w:val="21"/>
                      <w:szCs w:val="21"/>
                    </w:rPr>
                  </w:pPr>
                  <w:r>
                    <w:rPr>
                      <w:rFonts w:hint="eastAsia" w:ascii="宋体" w:hAnsi="宋体"/>
                      <w:b/>
                      <w:kern w:val="0"/>
                      <w:sz w:val="21"/>
                      <w:szCs w:val="21"/>
                    </w:rPr>
                    <w:t>学时</w:t>
                  </w:r>
                </w:p>
              </w:tc>
              <w:tc>
                <w:tcPr>
                  <w:tcW w:w="2187" w:type="dxa"/>
                  <w:vAlign w:val="center"/>
                </w:tcPr>
                <w:p>
                  <w:pPr>
                    <w:adjustRightInd w:val="0"/>
                    <w:snapToGrid w:val="0"/>
                    <w:jc w:val="center"/>
                    <w:rPr>
                      <w:rFonts w:ascii="宋体" w:hAnsi="宋体"/>
                      <w:b/>
                      <w:sz w:val="21"/>
                      <w:szCs w:val="21"/>
                    </w:rPr>
                  </w:pPr>
                  <w:r>
                    <w:rPr>
                      <w:rFonts w:hint="eastAsia" w:ascii="宋体" w:hAnsi="宋体"/>
                      <w:b/>
                      <w:kern w:val="0"/>
                      <w:sz w:val="21"/>
                      <w:szCs w:val="21"/>
                    </w:rPr>
                    <w:t>实验类型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5" w:type="dxa"/>
                  <w:tcBorders>
                    <w:right w:val="single" w:color="auto" w:sz="4" w:space="0"/>
                  </w:tcBorders>
                </w:tcPr>
                <w:p>
                  <w:pPr>
                    <w:adjustRightInd w:val="0"/>
                    <w:snapToGrid w:val="0"/>
                    <w:jc w:val="left"/>
                    <w:rPr>
                      <w:rFonts w:ascii="宋体" w:hAnsi="宋体"/>
                      <w:sz w:val="21"/>
                      <w:szCs w:val="21"/>
                    </w:rPr>
                  </w:pPr>
                </w:p>
              </w:tc>
              <w:tc>
                <w:tcPr>
                  <w:tcW w:w="1843" w:type="dxa"/>
                  <w:tcBorders>
                    <w:left w:val="single" w:color="auto" w:sz="4" w:space="0"/>
                  </w:tcBorders>
                </w:tcPr>
                <w:p>
                  <w:pPr>
                    <w:adjustRightInd w:val="0"/>
                    <w:snapToGrid w:val="0"/>
                    <w:jc w:val="left"/>
                    <w:rPr>
                      <w:rFonts w:ascii="宋体" w:hAnsi="宋体"/>
                      <w:sz w:val="21"/>
                      <w:szCs w:val="21"/>
                    </w:rPr>
                  </w:pPr>
                </w:p>
              </w:tc>
              <w:tc>
                <w:tcPr>
                  <w:tcW w:w="1276" w:type="dxa"/>
                </w:tcPr>
                <w:p>
                  <w:pPr>
                    <w:adjustRightInd w:val="0"/>
                    <w:snapToGrid w:val="0"/>
                    <w:jc w:val="left"/>
                    <w:rPr>
                      <w:rFonts w:ascii="宋体" w:hAnsi="宋体"/>
                      <w:sz w:val="21"/>
                      <w:szCs w:val="21"/>
                    </w:rPr>
                  </w:pPr>
                </w:p>
              </w:tc>
              <w:tc>
                <w:tcPr>
                  <w:tcW w:w="1843" w:type="dxa"/>
                </w:tcPr>
                <w:p>
                  <w:pPr>
                    <w:adjustRightInd w:val="0"/>
                    <w:snapToGrid w:val="0"/>
                    <w:jc w:val="left"/>
                    <w:rPr>
                      <w:rFonts w:ascii="宋体" w:hAnsi="宋体"/>
                      <w:sz w:val="21"/>
                      <w:szCs w:val="21"/>
                    </w:rPr>
                  </w:pPr>
                </w:p>
              </w:tc>
              <w:tc>
                <w:tcPr>
                  <w:tcW w:w="1275" w:type="dxa"/>
                </w:tcPr>
                <w:p>
                  <w:pPr>
                    <w:adjustRightInd w:val="0"/>
                    <w:snapToGrid w:val="0"/>
                    <w:jc w:val="left"/>
                    <w:rPr>
                      <w:rFonts w:ascii="宋体" w:hAnsi="宋体"/>
                      <w:sz w:val="21"/>
                      <w:szCs w:val="21"/>
                    </w:rPr>
                  </w:pPr>
                </w:p>
              </w:tc>
              <w:tc>
                <w:tcPr>
                  <w:tcW w:w="2187" w:type="dxa"/>
                </w:tcPr>
                <w:p>
                  <w:pPr>
                    <w:adjustRightInd w:val="0"/>
                    <w:snapToGrid w:val="0"/>
                    <w:jc w:val="left"/>
                    <w:rPr>
                      <w:rFonts w:ascii="宋体" w:hAnsi="宋体"/>
                      <w:sz w:val="21"/>
                      <w:szCs w:val="21"/>
                    </w:rPr>
                  </w:pPr>
                </w:p>
              </w:tc>
            </w:tr>
          </w:tbl>
          <w:p>
            <w:pPr>
              <w:adjustRightInd w:val="0"/>
              <w:snapToGrid w:val="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9" w:hRule="atLeast"/>
          <w:jc w:val="center"/>
        </w:trPr>
        <w:tc>
          <w:tcPr>
            <w:tcW w:w="9360" w:type="dxa"/>
            <w:gridSpan w:val="17"/>
          </w:tcPr>
          <w:p>
            <w:pPr>
              <w:adjustRightInd w:val="0"/>
              <w:snapToGrid w:val="0"/>
              <w:jc w:val="left"/>
              <w:rPr>
                <w:rFonts w:ascii="宋体" w:hAnsi="宋体"/>
                <w:b/>
                <w:sz w:val="21"/>
                <w:szCs w:val="21"/>
              </w:rPr>
            </w:pPr>
            <w:r>
              <w:rPr>
                <w:rFonts w:hint="eastAsia" w:ascii="宋体" w:hAnsi="宋体"/>
                <w:b/>
                <w:sz w:val="21"/>
                <w:szCs w:val="21"/>
              </w:rPr>
              <w:t>3.建设目标及预期效益（包括面向专业、实验课程、实验项目、科学研究、社会服务、校企校地协同创新等）</w:t>
            </w:r>
          </w:p>
          <w:p>
            <w:pPr>
              <w:adjustRightInd w:val="0"/>
              <w:snapToGrid w:val="0"/>
              <w:jc w:val="left"/>
              <w:rPr>
                <w:rFonts w:ascii="宋体" w:hAnsi="宋体"/>
                <w:sz w:val="21"/>
                <w:szCs w:val="21"/>
              </w:rPr>
            </w:pPr>
          </w:p>
          <w:p>
            <w:pPr>
              <w:adjustRightInd w:val="0"/>
              <w:snapToGrid w:val="0"/>
              <w:jc w:val="left"/>
              <w:rPr>
                <w:rFonts w:ascii="宋体" w:hAnsi="宋体"/>
                <w:sz w:val="21"/>
                <w:szCs w:val="21"/>
              </w:rPr>
            </w:pPr>
            <w:r>
              <w:rPr>
                <w:rFonts w:hint="eastAsia" w:ascii="宋体" w:hAnsi="宋体"/>
                <w:spacing w:val="17"/>
                <w:kern w:val="0"/>
                <w:sz w:val="21"/>
                <w:szCs w:val="21"/>
              </w:rPr>
              <w:t>（1）建设目标</w:t>
            </w:r>
            <w:r>
              <w:rPr>
                <w:rFonts w:hint="eastAsia" w:ascii="宋体" w:hAnsi="宋体"/>
                <w:spacing w:val="2"/>
                <w:kern w:val="0"/>
                <w:sz w:val="21"/>
                <w:szCs w:val="21"/>
              </w:rPr>
              <w:t>：</w:t>
            </w: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r>
              <w:rPr>
                <w:rFonts w:hint="eastAsia" w:ascii="宋体" w:hAnsi="宋体"/>
                <w:spacing w:val="17"/>
                <w:kern w:val="0"/>
                <w:sz w:val="21"/>
                <w:szCs w:val="21"/>
              </w:rPr>
              <w:t>（2）预期效益</w:t>
            </w:r>
            <w:r>
              <w:rPr>
                <w:rFonts w:hint="eastAsia" w:ascii="宋体" w:hAnsi="宋体"/>
                <w:spacing w:val="2"/>
                <w:kern w:val="0"/>
                <w:sz w:val="21"/>
                <w:szCs w:val="21"/>
              </w:rPr>
              <w:t>：</w:t>
            </w: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p>
            <w:pPr>
              <w:adjustRightInd w:val="0"/>
              <w:snapToGrid w:val="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9360" w:type="dxa"/>
            <w:gridSpan w:val="17"/>
          </w:tcPr>
          <w:p>
            <w:pPr>
              <w:adjustRightInd w:val="0"/>
              <w:snapToGrid w:val="0"/>
              <w:jc w:val="left"/>
              <w:rPr>
                <w:rFonts w:ascii="宋体" w:hAnsi="宋体"/>
                <w:sz w:val="21"/>
                <w:szCs w:val="21"/>
              </w:rPr>
            </w:pPr>
          </w:p>
          <w:p>
            <w:pPr>
              <w:adjustRightInd w:val="0"/>
              <w:snapToGrid w:val="0"/>
              <w:jc w:val="left"/>
              <w:rPr>
                <w:rFonts w:ascii="宋体" w:hAnsi="宋体"/>
                <w:sz w:val="21"/>
                <w:szCs w:val="21"/>
              </w:rPr>
            </w:pPr>
            <w:r>
              <w:rPr>
                <w:rFonts w:hint="eastAsia" w:ascii="宋体" w:hAnsi="宋体"/>
                <w:sz w:val="21"/>
                <w:szCs w:val="21"/>
              </w:rPr>
              <w:t>（3）项目完成后能改进/新增实验开设情况（注：实验类型指演示、验证、综合、设计实验等，原有实验项目不填，本项可另附表）</w:t>
            </w:r>
          </w:p>
          <w:p>
            <w:pPr>
              <w:adjustRightInd w:val="0"/>
              <w:snapToGrid w:val="0"/>
              <w:spacing w:line="160" w:lineRule="exact"/>
              <w:jc w:val="left"/>
              <w:rPr>
                <w:rFonts w:ascii="宋体" w:hAnsi="宋体"/>
                <w:sz w:val="21"/>
                <w:szCs w:val="21"/>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2071"/>
              <w:gridCol w:w="828"/>
              <w:gridCol w:w="1381"/>
              <w:gridCol w:w="607"/>
              <w:gridCol w:w="1050"/>
              <w:gridCol w:w="721"/>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656" w:type="dxa"/>
                  <w:tcBorders>
                    <w:right w:val="single" w:color="auto" w:sz="4" w:space="0"/>
                  </w:tcBorders>
                  <w:vAlign w:val="center"/>
                </w:tcPr>
                <w:p>
                  <w:pPr>
                    <w:jc w:val="center"/>
                    <w:rPr>
                      <w:rFonts w:ascii="宋体" w:hAnsi="宋体"/>
                      <w:b/>
                      <w:sz w:val="21"/>
                      <w:szCs w:val="21"/>
                    </w:rPr>
                  </w:pPr>
                  <w:r>
                    <w:rPr>
                      <w:rFonts w:hint="eastAsia" w:ascii="宋体" w:hAnsi="宋体"/>
                      <w:b/>
                      <w:kern w:val="0"/>
                      <w:sz w:val="21"/>
                      <w:szCs w:val="21"/>
                    </w:rPr>
                    <w:t>序号</w:t>
                  </w:r>
                </w:p>
              </w:tc>
              <w:tc>
                <w:tcPr>
                  <w:tcW w:w="2071" w:type="dxa"/>
                  <w:tcBorders>
                    <w:left w:val="single" w:color="auto" w:sz="4" w:space="0"/>
                  </w:tcBorders>
                  <w:vAlign w:val="center"/>
                </w:tcPr>
                <w:p>
                  <w:pPr>
                    <w:jc w:val="center"/>
                    <w:rPr>
                      <w:rFonts w:ascii="宋体" w:hAnsi="宋体"/>
                      <w:b/>
                      <w:sz w:val="21"/>
                      <w:szCs w:val="21"/>
                    </w:rPr>
                  </w:pPr>
                  <w:r>
                    <w:rPr>
                      <w:rFonts w:hint="eastAsia" w:ascii="宋体" w:hAnsi="宋体"/>
                      <w:b/>
                      <w:kern w:val="0"/>
                      <w:sz w:val="21"/>
                      <w:szCs w:val="21"/>
                    </w:rPr>
                    <w:t>实验项目名称</w:t>
                  </w:r>
                </w:p>
              </w:tc>
              <w:tc>
                <w:tcPr>
                  <w:tcW w:w="828" w:type="dxa"/>
                  <w:vAlign w:val="center"/>
                </w:tcPr>
                <w:p>
                  <w:pPr>
                    <w:adjustRightInd w:val="0"/>
                    <w:snapToGrid w:val="0"/>
                    <w:jc w:val="center"/>
                    <w:rPr>
                      <w:rFonts w:ascii="宋体" w:hAnsi="宋体"/>
                      <w:b/>
                      <w:sz w:val="21"/>
                      <w:szCs w:val="21"/>
                    </w:rPr>
                  </w:pPr>
                  <w:r>
                    <w:rPr>
                      <w:rFonts w:hint="eastAsia" w:ascii="宋体" w:hAnsi="宋体"/>
                      <w:b/>
                      <w:kern w:val="0"/>
                      <w:sz w:val="21"/>
                      <w:szCs w:val="21"/>
                    </w:rPr>
                    <w:t>所属</w:t>
                  </w:r>
                </w:p>
                <w:p>
                  <w:pPr>
                    <w:adjustRightInd w:val="0"/>
                    <w:snapToGrid w:val="0"/>
                    <w:jc w:val="center"/>
                    <w:rPr>
                      <w:rFonts w:ascii="宋体" w:hAnsi="宋体"/>
                      <w:b/>
                      <w:sz w:val="21"/>
                      <w:szCs w:val="21"/>
                    </w:rPr>
                  </w:pPr>
                  <w:r>
                    <w:rPr>
                      <w:rFonts w:hint="eastAsia" w:ascii="宋体" w:hAnsi="宋体"/>
                      <w:b/>
                      <w:kern w:val="0"/>
                      <w:sz w:val="21"/>
                      <w:szCs w:val="21"/>
                    </w:rPr>
                    <w:t>课程</w:t>
                  </w:r>
                </w:p>
              </w:tc>
              <w:tc>
                <w:tcPr>
                  <w:tcW w:w="1381" w:type="dxa"/>
                  <w:vAlign w:val="center"/>
                </w:tcPr>
                <w:p>
                  <w:pPr>
                    <w:adjustRightInd w:val="0"/>
                    <w:snapToGrid w:val="0"/>
                    <w:jc w:val="center"/>
                    <w:rPr>
                      <w:rFonts w:ascii="宋体" w:hAnsi="宋体"/>
                      <w:b/>
                      <w:sz w:val="21"/>
                      <w:szCs w:val="21"/>
                    </w:rPr>
                  </w:pPr>
                  <w:r>
                    <w:rPr>
                      <w:rFonts w:hint="eastAsia" w:ascii="宋体" w:hAnsi="宋体"/>
                      <w:b/>
                      <w:kern w:val="0"/>
                      <w:sz w:val="21"/>
                      <w:szCs w:val="21"/>
                    </w:rPr>
                    <w:t>面向专业</w:t>
                  </w:r>
                </w:p>
                <w:p>
                  <w:pPr>
                    <w:adjustRightInd w:val="0"/>
                    <w:snapToGrid w:val="0"/>
                    <w:jc w:val="center"/>
                    <w:rPr>
                      <w:rFonts w:ascii="宋体" w:hAnsi="宋体"/>
                      <w:b/>
                      <w:sz w:val="21"/>
                      <w:szCs w:val="21"/>
                    </w:rPr>
                  </w:pPr>
                  <w:r>
                    <w:rPr>
                      <w:rFonts w:hint="eastAsia" w:ascii="宋体" w:hAnsi="宋体"/>
                      <w:b/>
                      <w:w w:val="91"/>
                      <w:kern w:val="0"/>
                      <w:sz w:val="21"/>
                      <w:szCs w:val="21"/>
                    </w:rPr>
                    <w:t>/年级</w:t>
                  </w:r>
                </w:p>
              </w:tc>
              <w:tc>
                <w:tcPr>
                  <w:tcW w:w="607" w:type="dxa"/>
                  <w:tcBorders>
                    <w:right w:val="single" w:color="auto" w:sz="4" w:space="0"/>
                  </w:tcBorders>
                  <w:vAlign w:val="center"/>
                </w:tcPr>
                <w:p>
                  <w:pPr>
                    <w:adjustRightInd w:val="0"/>
                    <w:snapToGrid w:val="0"/>
                    <w:jc w:val="center"/>
                    <w:rPr>
                      <w:rFonts w:ascii="宋体" w:hAnsi="宋体"/>
                      <w:b/>
                      <w:sz w:val="21"/>
                      <w:szCs w:val="21"/>
                    </w:rPr>
                  </w:pPr>
                  <w:r>
                    <w:rPr>
                      <w:rFonts w:hint="eastAsia" w:ascii="宋体" w:hAnsi="宋体"/>
                      <w:b/>
                      <w:kern w:val="0"/>
                      <w:sz w:val="21"/>
                      <w:szCs w:val="21"/>
                    </w:rPr>
                    <w:t>学时</w:t>
                  </w:r>
                </w:p>
              </w:tc>
              <w:tc>
                <w:tcPr>
                  <w:tcW w:w="1050" w:type="dxa"/>
                  <w:tcBorders>
                    <w:left w:val="single" w:color="auto" w:sz="4" w:space="0"/>
                  </w:tcBorders>
                  <w:vAlign w:val="center"/>
                </w:tcPr>
                <w:p>
                  <w:pPr>
                    <w:adjustRightInd w:val="0"/>
                    <w:snapToGrid w:val="0"/>
                    <w:jc w:val="center"/>
                    <w:rPr>
                      <w:rFonts w:ascii="宋体" w:hAnsi="宋体"/>
                      <w:b/>
                      <w:sz w:val="21"/>
                      <w:szCs w:val="21"/>
                    </w:rPr>
                  </w:pPr>
                  <w:r>
                    <w:rPr>
                      <w:rFonts w:hint="eastAsia" w:ascii="宋体" w:hAnsi="宋体"/>
                      <w:b/>
                      <w:kern w:val="0"/>
                      <w:sz w:val="21"/>
                      <w:szCs w:val="21"/>
                    </w:rPr>
                    <w:t>实验类型</w:t>
                  </w:r>
                </w:p>
              </w:tc>
              <w:tc>
                <w:tcPr>
                  <w:tcW w:w="721" w:type="dxa"/>
                  <w:tcBorders>
                    <w:right w:val="single" w:color="auto" w:sz="4" w:space="0"/>
                  </w:tcBorders>
                  <w:vAlign w:val="center"/>
                </w:tcPr>
                <w:p>
                  <w:pPr>
                    <w:adjustRightInd w:val="0"/>
                    <w:snapToGrid w:val="0"/>
                    <w:jc w:val="center"/>
                    <w:rPr>
                      <w:rFonts w:ascii="宋体" w:hAnsi="宋体"/>
                      <w:b/>
                      <w:bCs/>
                      <w:sz w:val="21"/>
                      <w:szCs w:val="21"/>
                    </w:rPr>
                  </w:pPr>
                  <w:r>
                    <w:rPr>
                      <w:rFonts w:hint="eastAsia" w:ascii="宋体" w:hAnsi="宋体"/>
                      <w:b/>
                      <w:bCs/>
                      <w:kern w:val="0"/>
                      <w:sz w:val="21"/>
                      <w:szCs w:val="21"/>
                    </w:rPr>
                    <w:t>改进</w:t>
                  </w:r>
                </w:p>
                <w:p>
                  <w:pPr>
                    <w:adjustRightInd w:val="0"/>
                    <w:snapToGrid w:val="0"/>
                    <w:jc w:val="center"/>
                    <w:rPr>
                      <w:rFonts w:ascii="宋体" w:hAnsi="宋体"/>
                      <w:b/>
                      <w:sz w:val="21"/>
                      <w:szCs w:val="21"/>
                    </w:rPr>
                  </w:pPr>
                  <w:r>
                    <w:rPr>
                      <w:rFonts w:hint="eastAsia" w:ascii="宋体" w:hAnsi="宋体"/>
                      <w:b/>
                      <w:bCs/>
                      <w:w w:val="91"/>
                      <w:kern w:val="0"/>
                      <w:sz w:val="21"/>
                      <w:szCs w:val="21"/>
                    </w:rPr>
                    <w:t>/新增</w:t>
                  </w:r>
                </w:p>
              </w:tc>
              <w:tc>
                <w:tcPr>
                  <w:tcW w:w="1724" w:type="dxa"/>
                  <w:tcBorders>
                    <w:left w:val="single" w:color="auto" w:sz="4" w:space="0"/>
                  </w:tcBorders>
                  <w:vAlign w:val="center"/>
                </w:tcPr>
                <w:p>
                  <w:pPr>
                    <w:adjustRightInd w:val="0"/>
                    <w:snapToGrid w:val="0"/>
                    <w:jc w:val="center"/>
                    <w:rPr>
                      <w:rFonts w:ascii="宋体" w:hAnsi="宋体"/>
                      <w:b/>
                      <w:sz w:val="21"/>
                      <w:szCs w:val="21"/>
                    </w:rPr>
                  </w:pPr>
                  <w:r>
                    <w:rPr>
                      <w:rFonts w:hint="eastAsia" w:ascii="宋体" w:hAnsi="宋体"/>
                      <w:b/>
                      <w:bCs/>
                      <w:kern w:val="0"/>
                      <w:sz w:val="21"/>
                      <w:szCs w:val="21"/>
                    </w:rPr>
                    <w:t>主要仪器设备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656" w:type="dxa"/>
                  <w:tcBorders>
                    <w:right w:val="single" w:color="auto" w:sz="4" w:space="0"/>
                  </w:tcBorders>
                </w:tcPr>
                <w:p>
                  <w:pPr>
                    <w:adjustRightInd w:val="0"/>
                    <w:snapToGrid w:val="0"/>
                    <w:jc w:val="left"/>
                    <w:rPr>
                      <w:rFonts w:ascii="宋体" w:hAnsi="宋体"/>
                      <w:sz w:val="21"/>
                      <w:szCs w:val="21"/>
                    </w:rPr>
                  </w:pPr>
                </w:p>
              </w:tc>
              <w:tc>
                <w:tcPr>
                  <w:tcW w:w="2071" w:type="dxa"/>
                  <w:tcBorders>
                    <w:left w:val="single" w:color="auto" w:sz="4" w:space="0"/>
                  </w:tcBorders>
                </w:tcPr>
                <w:p>
                  <w:pPr>
                    <w:adjustRightInd w:val="0"/>
                    <w:snapToGrid w:val="0"/>
                    <w:jc w:val="left"/>
                    <w:rPr>
                      <w:rFonts w:ascii="宋体" w:hAnsi="宋体"/>
                      <w:sz w:val="21"/>
                      <w:szCs w:val="21"/>
                    </w:rPr>
                  </w:pPr>
                </w:p>
              </w:tc>
              <w:tc>
                <w:tcPr>
                  <w:tcW w:w="828" w:type="dxa"/>
                </w:tcPr>
                <w:p>
                  <w:pPr>
                    <w:adjustRightInd w:val="0"/>
                    <w:snapToGrid w:val="0"/>
                    <w:jc w:val="left"/>
                    <w:rPr>
                      <w:rFonts w:ascii="宋体" w:hAnsi="宋体"/>
                      <w:sz w:val="21"/>
                      <w:szCs w:val="21"/>
                    </w:rPr>
                  </w:pPr>
                </w:p>
              </w:tc>
              <w:tc>
                <w:tcPr>
                  <w:tcW w:w="1381" w:type="dxa"/>
                </w:tcPr>
                <w:p>
                  <w:pPr>
                    <w:adjustRightInd w:val="0"/>
                    <w:snapToGrid w:val="0"/>
                    <w:jc w:val="left"/>
                    <w:rPr>
                      <w:rFonts w:ascii="宋体" w:hAnsi="宋体"/>
                      <w:sz w:val="21"/>
                      <w:szCs w:val="21"/>
                    </w:rPr>
                  </w:pPr>
                </w:p>
              </w:tc>
              <w:tc>
                <w:tcPr>
                  <w:tcW w:w="607" w:type="dxa"/>
                  <w:tcBorders>
                    <w:right w:val="single" w:color="auto" w:sz="4" w:space="0"/>
                  </w:tcBorders>
                </w:tcPr>
                <w:p>
                  <w:pPr>
                    <w:adjustRightInd w:val="0"/>
                    <w:snapToGrid w:val="0"/>
                    <w:jc w:val="left"/>
                    <w:rPr>
                      <w:rFonts w:ascii="宋体" w:hAnsi="宋体"/>
                      <w:sz w:val="21"/>
                      <w:szCs w:val="21"/>
                    </w:rPr>
                  </w:pPr>
                </w:p>
              </w:tc>
              <w:tc>
                <w:tcPr>
                  <w:tcW w:w="1050" w:type="dxa"/>
                  <w:tcBorders>
                    <w:left w:val="single" w:color="auto" w:sz="4" w:space="0"/>
                  </w:tcBorders>
                </w:tcPr>
                <w:p>
                  <w:pPr>
                    <w:adjustRightInd w:val="0"/>
                    <w:snapToGrid w:val="0"/>
                    <w:jc w:val="left"/>
                    <w:rPr>
                      <w:rFonts w:ascii="宋体" w:hAnsi="宋体"/>
                      <w:sz w:val="21"/>
                      <w:szCs w:val="21"/>
                    </w:rPr>
                  </w:pPr>
                </w:p>
              </w:tc>
              <w:tc>
                <w:tcPr>
                  <w:tcW w:w="721" w:type="dxa"/>
                  <w:tcBorders>
                    <w:right w:val="single" w:color="auto" w:sz="4" w:space="0"/>
                  </w:tcBorders>
                </w:tcPr>
                <w:p>
                  <w:pPr>
                    <w:adjustRightInd w:val="0"/>
                    <w:snapToGrid w:val="0"/>
                    <w:jc w:val="left"/>
                    <w:rPr>
                      <w:rFonts w:ascii="宋体" w:hAnsi="宋体"/>
                      <w:sz w:val="21"/>
                      <w:szCs w:val="21"/>
                    </w:rPr>
                  </w:pPr>
                </w:p>
              </w:tc>
              <w:tc>
                <w:tcPr>
                  <w:tcW w:w="1724" w:type="dxa"/>
                  <w:tcBorders>
                    <w:left w:val="single" w:color="auto" w:sz="4" w:space="0"/>
                  </w:tcBorders>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jc w:val="center"/>
              </w:trPr>
              <w:tc>
                <w:tcPr>
                  <w:tcW w:w="656" w:type="dxa"/>
                  <w:tcBorders>
                    <w:right w:val="single" w:color="auto" w:sz="4" w:space="0"/>
                  </w:tcBorders>
                </w:tcPr>
                <w:p>
                  <w:pPr>
                    <w:adjustRightInd w:val="0"/>
                    <w:snapToGrid w:val="0"/>
                    <w:jc w:val="left"/>
                    <w:rPr>
                      <w:rFonts w:ascii="宋体" w:hAnsi="宋体"/>
                      <w:sz w:val="21"/>
                      <w:szCs w:val="21"/>
                    </w:rPr>
                  </w:pPr>
                </w:p>
              </w:tc>
              <w:tc>
                <w:tcPr>
                  <w:tcW w:w="2071" w:type="dxa"/>
                  <w:tcBorders>
                    <w:left w:val="single" w:color="auto" w:sz="4" w:space="0"/>
                  </w:tcBorders>
                </w:tcPr>
                <w:p>
                  <w:pPr>
                    <w:adjustRightInd w:val="0"/>
                    <w:snapToGrid w:val="0"/>
                    <w:jc w:val="left"/>
                    <w:rPr>
                      <w:rFonts w:ascii="宋体" w:hAnsi="宋体"/>
                      <w:sz w:val="21"/>
                      <w:szCs w:val="21"/>
                    </w:rPr>
                  </w:pPr>
                </w:p>
              </w:tc>
              <w:tc>
                <w:tcPr>
                  <w:tcW w:w="828" w:type="dxa"/>
                </w:tcPr>
                <w:p>
                  <w:pPr>
                    <w:adjustRightInd w:val="0"/>
                    <w:snapToGrid w:val="0"/>
                    <w:jc w:val="left"/>
                    <w:rPr>
                      <w:rFonts w:ascii="宋体" w:hAnsi="宋体"/>
                      <w:sz w:val="21"/>
                      <w:szCs w:val="21"/>
                    </w:rPr>
                  </w:pPr>
                </w:p>
              </w:tc>
              <w:tc>
                <w:tcPr>
                  <w:tcW w:w="1381" w:type="dxa"/>
                </w:tcPr>
                <w:p>
                  <w:pPr>
                    <w:adjustRightInd w:val="0"/>
                    <w:snapToGrid w:val="0"/>
                    <w:jc w:val="left"/>
                    <w:rPr>
                      <w:rFonts w:ascii="宋体" w:hAnsi="宋体"/>
                      <w:sz w:val="21"/>
                      <w:szCs w:val="21"/>
                    </w:rPr>
                  </w:pPr>
                </w:p>
              </w:tc>
              <w:tc>
                <w:tcPr>
                  <w:tcW w:w="607" w:type="dxa"/>
                  <w:tcBorders>
                    <w:right w:val="single" w:color="auto" w:sz="4" w:space="0"/>
                  </w:tcBorders>
                </w:tcPr>
                <w:p>
                  <w:pPr>
                    <w:adjustRightInd w:val="0"/>
                    <w:snapToGrid w:val="0"/>
                    <w:jc w:val="left"/>
                    <w:rPr>
                      <w:rFonts w:ascii="宋体" w:hAnsi="宋体"/>
                      <w:sz w:val="21"/>
                      <w:szCs w:val="21"/>
                    </w:rPr>
                  </w:pPr>
                </w:p>
              </w:tc>
              <w:tc>
                <w:tcPr>
                  <w:tcW w:w="1050" w:type="dxa"/>
                  <w:tcBorders>
                    <w:left w:val="single" w:color="auto" w:sz="4" w:space="0"/>
                  </w:tcBorders>
                </w:tcPr>
                <w:p>
                  <w:pPr>
                    <w:adjustRightInd w:val="0"/>
                    <w:snapToGrid w:val="0"/>
                    <w:jc w:val="left"/>
                    <w:rPr>
                      <w:rFonts w:ascii="宋体" w:hAnsi="宋体"/>
                      <w:sz w:val="21"/>
                      <w:szCs w:val="21"/>
                    </w:rPr>
                  </w:pPr>
                </w:p>
              </w:tc>
              <w:tc>
                <w:tcPr>
                  <w:tcW w:w="721" w:type="dxa"/>
                  <w:tcBorders>
                    <w:right w:val="single" w:color="auto" w:sz="4" w:space="0"/>
                  </w:tcBorders>
                </w:tcPr>
                <w:p>
                  <w:pPr>
                    <w:adjustRightInd w:val="0"/>
                    <w:snapToGrid w:val="0"/>
                    <w:jc w:val="left"/>
                    <w:rPr>
                      <w:rFonts w:ascii="宋体" w:hAnsi="宋体"/>
                      <w:sz w:val="21"/>
                      <w:szCs w:val="21"/>
                    </w:rPr>
                  </w:pPr>
                </w:p>
              </w:tc>
              <w:tc>
                <w:tcPr>
                  <w:tcW w:w="1724" w:type="dxa"/>
                  <w:tcBorders>
                    <w:left w:val="single" w:color="auto" w:sz="4" w:space="0"/>
                  </w:tcBorders>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hRule="atLeast"/>
                <w:jc w:val="center"/>
              </w:trPr>
              <w:tc>
                <w:tcPr>
                  <w:tcW w:w="656" w:type="dxa"/>
                  <w:tcBorders>
                    <w:right w:val="single" w:color="auto" w:sz="4" w:space="0"/>
                  </w:tcBorders>
                </w:tcPr>
                <w:p>
                  <w:pPr>
                    <w:adjustRightInd w:val="0"/>
                    <w:snapToGrid w:val="0"/>
                    <w:jc w:val="left"/>
                    <w:rPr>
                      <w:rFonts w:ascii="宋体" w:hAnsi="宋体"/>
                      <w:sz w:val="21"/>
                      <w:szCs w:val="21"/>
                    </w:rPr>
                  </w:pPr>
                </w:p>
              </w:tc>
              <w:tc>
                <w:tcPr>
                  <w:tcW w:w="2071" w:type="dxa"/>
                  <w:tcBorders>
                    <w:left w:val="single" w:color="auto" w:sz="4" w:space="0"/>
                  </w:tcBorders>
                </w:tcPr>
                <w:p>
                  <w:pPr>
                    <w:adjustRightInd w:val="0"/>
                    <w:snapToGrid w:val="0"/>
                    <w:jc w:val="left"/>
                    <w:rPr>
                      <w:rFonts w:ascii="宋体" w:hAnsi="宋体"/>
                      <w:sz w:val="21"/>
                      <w:szCs w:val="21"/>
                    </w:rPr>
                  </w:pPr>
                </w:p>
              </w:tc>
              <w:tc>
                <w:tcPr>
                  <w:tcW w:w="828" w:type="dxa"/>
                </w:tcPr>
                <w:p>
                  <w:pPr>
                    <w:adjustRightInd w:val="0"/>
                    <w:snapToGrid w:val="0"/>
                    <w:jc w:val="left"/>
                    <w:rPr>
                      <w:rFonts w:ascii="宋体" w:hAnsi="宋体"/>
                      <w:sz w:val="21"/>
                      <w:szCs w:val="21"/>
                    </w:rPr>
                  </w:pPr>
                </w:p>
              </w:tc>
              <w:tc>
                <w:tcPr>
                  <w:tcW w:w="1381" w:type="dxa"/>
                </w:tcPr>
                <w:p>
                  <w:pPr>
                    <w:adjustRightInd w:val="0"/>
                    <w:snapToGrid w:val="0"/>
                    <w:jc w:val="left"/>
                    <w:rPr>
                      <w:rFonts w:ascii="宋体" w:hAnsi="宋体"/>
                      <w:sz w:val="21"/>
                      <w:szCs w:val="21"/>
                    </w:rPr>
                  </w:pPr>
                </w:p>
              </w:tc>
              <w:tc>
                <w:tcPr>
                  <w:tcW w:w="607" w:type="dxa"/>
                  <w:tcBorders>
                    <w:right w:val="single" w:color="auto" w:sz="4" w:space="0"/>
                  </w:tcBorders>
                </w:tcPr>
                <w:p>
                  <w:pPr>
                    <w:adjustRightInd w:val="0"/>
                    <w:snapToGrid w:val="0"/>
                    <w:jc w:val="left"/>
                    <w:rPr>
                      <w:rFonts w:ascii="宋体" w:hAnsi="宋体"/>
                      <w:sz w:val="21"/>
                      <w:szCs w:val="21"/>
                    </w:rPr>
                  </w:pPr>
                </w:p>
              </w:tc>
              <w:tc>
                <w:tcPr>
                  <w:tcW w:w="1050" w:type="dxa"/>
                  <w:tcBorders>
                    <w:left w:val="single" w:color="auto" w:sz="4" w:space="0"/>
                  </w:tcBorders>
                </w:tcPr>
                <w:p>
                  <w:pPr>
                    <w:adjustRightInd w:val="0"/>
                    <w:snapToGrid w:val="0"/>
                    <w:jc w:val="left"/>
                    <w:rPr>
                      <w:rFonts w:ascii="宋体" w:hAnsi="宋体"/>
                      <w:sz w:val="21"/>
                      <w:szCs w:val="21"/>
                    </w:rPr>
                  </w:pPr>
                </w:p>
              </w:tc>
              <w:tc>
                <w:tcPr>
                  <w:tcW w:w="721" w:type="dxa"/>
                  <w:tcBorders>
                    <w:right w:val="single" w:color="auto" w:sz="4" w:space="0"/>
                  </w:tcBorders>
                </w:tcPr>
                <w:p>
                  <w:pPr>
                    <w:adjustRightInd w:val="0"/>
                    <w:snapToGrid w:val="0"/>
                    <w:jc w:val="left"/>
                    <w:rPr>
                      <w:rFonts w:ascii="宋体" w:hAnsi="宋体"/>
                      <w:sz w:val="21"/>
                      <w:szCs w:val="21"/>
                    </w:rPr>
                  </w:pPr>
                </w:p>
              </w:tc>
              <w:tc>
                <w:tcPr>
                  <w:tcW w:w="1724" w:type="dxa"/>
                  <w:tcBorders>
                    <w:left w:val="single" w:color="auto" w:sz="4" w:space="0"/>
                  </w:tcBorders>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jc w:val="center"/>
              </w:trPr>
              <w:tc>
                <w:tcPr>
                  <w:tcW w:w="656" w:type="dxa"/>
                  <w:tcBorders>
                    <w:right w:val="single" w:color="auto" w:sz="4" w:space="0"/>
                  </w:tcBorders>
                </w:tcPr>
                <w:p>
                  <w:pPr>
                    <w:adjustRightInd w:val="0"/>
                    <w:snapToGrid w:val="0"/>
                    <w:jc w:val="left"/>
                    <w:rPr>
                      <w:rFonts w:ascii="宋体" w:hAnsi="宋体"/>
                      <w:sz w:val="21"/>
                      <w:szCs w:val="21"/>
                    </w:rPr>
                  </w:pPr>
                </w:p>
              </w:tc>
              <w:tc>
                <w:tcPr>
                  <w:tcW w:w="2071" w:type="dxa"/>
                  <w:tcBorders>
                    <w:left w:val="single" w:color="auto" w:sz="4" w:space="0"/>
                  </w:tcBorders>
                </w:tcPr>
                <w:p>
                  <w:pPr>
                    <w:adjustRightInd w:val="0"/>
                    <w:snapToGrid w:val="0"/>
                    <w:jc w:val="left"/>
                    <w:rPr>
                      <w:rFonts w:ascii="宋体" w:hAnsi="宋体"/>
                      <w:sz w:val="21"/>
                      <w:szCs w:val="21"/>
                    </w:rPr>
                  </w:pPr>
                </w:p>
              </w:tc>
              <w:tc>
                <w:tcPr>
                  <w:tcW w:w="828" w:type="dxa"/>
                </w:tcPr>
                <w:p>
                  <w:pPr>
                    <w:adjustRightInd w:val="0"/>
                    <w:snapToGrid w:val="0"/>
                    <w:jc w:val="left"/>
                    <w:rPr>
                      <w:rFonts w:ascii="宋体" w:hAnsi="宋体"/>
                      <w:sz w:val="21"/>
                      <w:szCs w:val="21"/>
                    </w:rPr>
                  </w:pPr>
                </w:p>
              </w:tc>
              <w:tc>
                <w:tcPr>
                  <w:tcW w:w="1381" w:type="dxa"/>
                </w:tcPr>
                <w:p>
                  <w:pPr>
                    <w:adjustRightInd w:val="0"/>
                    <w:snapToGrid w:val="0"/>
                    <w:jc w:val="left"/>
                    <w:rPr>
                      <w:rFonts w:ascii="宋体" w:hAnsi="宋体"/>
                      <w:sz w:val="21"/>
                      <w:szCs w:val="21"/>
                    </w:rPr>
                  </w:pPr>
                </w:p>
              </w:tc>
              <w:tc>
                <w:tcPr>
                  <w:tcW w:w="607" w:type="dxa"/>
                  <w:tcBorders>
                    <w:right w:val="single" w:color="auto" w:sz="4" w:space="0"/>
                  </w:tcBorders>
                </w:tcPr>
                <w:p>
                  <w:pPr>
                    <w:adjustRightInd w:val="0"/>
                    <w:snapToGrid w:val="0"/>
                    <w:jc w:val="left"/>
                    <w:rPr>
                      <w:rFonts w:ascii="宋体" w:hAnsi="宋体"/>
                      <w:sz w:val="21"/>
                      <w:szCs w:val="21"/>
                    </w:rPr>
                  </w:pPr>
                </w:p>
              </w:tc>
              <w:tc>
                <w:tcPr>
                  <w:tcW w:w="1050" w:type="dxa"/>
                  <w:tcBorders>
                    <w:left w:val="single" w:color="auto" w:sz="4" w:space="0"/>
                  </w:tcBorders>
                </w:tcPr>
                <w:p>
                  <w:pPr>
                    <w:adjustRightInd w:val="0"/>
                    <w:snapToGrid w:val="0"/>
                    <w:jc w:val="left"/>
                    <w:rPr>
                      <w:rFonts w:ascii="宋体" w:hAnsi="宋体"/>
                      <w:sz w:val="21"/>
                      <w:szCs w:val="21"/>
                    </w:rPr>
                  </w:pPr>
                </w:p>
              </w:tc>
              <w:tc>
                <w:tcPr>
                  <w:tcW w:w="721" w:type="dxa"/>
                  <w:tcBorders>
                    <w:right w:val="single" w:color="auto" w:sz="4" w:space="0"/>
                  </w:tcBorders>
                </w:tcPr>
                <w:p>
                  <w:pPr>
                    <w:adjustRightInd w:val="0"/>
                    <w:snapToGrid w:val="0"/>
                    <w:jc w:val="left"/>
                    <w:rPr>
                      <w:rFonts w:ascii="宋体" w:hAnsi="宋体"/>
                      <w:sz w:val="21"/>
                      <w:szCs w:val="21"/>
                    </w:rPr>
                  </w:pPr>
                </w:p>
              </w:tc>
              <w:tc>
                <w:tcPr>
                  <w:tcW w:w="1724" w:type="dxa"/>
                  <w:tcBorders>
                    <w:left w:val="single" w:color="auto" w:sz="4" w:space="0"/>
                  </w:tcBorders>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jc w:val="center"/>
              </w:trPr>
              <w:tc>
                <w:tcPr>
                  <w:tcW w:w="656" w:type="dxa"/>
                  <w:tcBorders>
                    <w:right w:val="single" w:color="auto" w:sz="4" w:space="0"/>
                  </w:tcBorders>
                </w:tcPr>
                <w:p>
                  <w:pPr>
                    <w:adjustRightInd w:val="0"/>
                    <w:snapToGrid w:val="0"/>
                    <w:jc w:val="left"/>
                    <w:rPr>
                      <w:rFonts w:ascii="宋体" w:hAnsi="宋体"/>
                      <w:sz w:val="21"/>
                      <w:szCs w:val="21"/>
                    </w:rPr>
                  </w:pPr>
                </w:p>
              </w:tc>
              <w:tc>
                <w:tcPr>
                  <w:tcW w:w="2071" w:type="dxa"/>
                  <w:tcBorders>
                    <w:left w:val="single" w:color="auto" w:sz="4" w:space="0"/>
                  </w:tcBorders>
                </w:tcPr>
                <w:p>
                  <w:pPr>
                    <w:adjustRightInd w:val="0"/>
                    <w:snapToGrid w:val="0"/>
                    <w:jc w:val="left"/>
                    <w:rPr>
                      <w:rFonts w:ascii="宋体" w:hAnsi="宋体"/>
                      <w:sz w:val="21"/>
                      <w:szCs w:val="21"/>
                    </w:rPr>
                  </w:pPr>
                </w:p>
              </w:tc>
              <w:tc>
                <w:tcPr>
                  <w:tcW w:w="828" w:type="dxa"/>
                </w:tcPr>
                <w:p>
                  <w:pPr>
                    <w:adjustRightInd w:val="0"/>
                    <w:snapToGrid w:val="0"/>
                    <w:jc w:val="left"/>
                    <w:rPr>
                      <w:rFonts w:ascii="宋体" w:hAnsi="宋体"/>
                      <w:sz w:val="21"/>
                      <w:szCs w:val="21"/>
                    </w:rPr>
                  </w:pPr>
                </w:p>
              </w:tc>
              <w:tc>
                <w:tcPr>
                  <w:tcW w:w="1381" w:type="dxa"/>
                </w:tcPr>
                <w:p>
                  <w:pPr>
                    <w:adjustRightInd w:val="0"/>
                    <w:snapToGrid w:val="0"/>
                    <w:jc w:val="left"/>
                    <w:rPr>
                      <w:rFonts w:ascii="宋体" w:hAnsi="宋体"/>
                      <w:sz w:val="21"/>
                      <w:szCs w:val="21"/>
                    </w:rPr>
                  </w:pPr>
                </w:p>
              </w:tc>
              <w:tc>
                <w:tcPr>
                  <w:tcW w:w="607" w:type="dxa"/>
                  <w:tcBorders>
                    <w:right w:val="single" w:color="auto" w:sz="4" w:space="0"/>
                  </w:tcBorders>
                </w:tcPr>
                <w:p>
                  <w:pPr>
                    <w:adjustRightInd w:val="0"/>
                    <w:snapToGrid w:val="0"/>
                    <w:jc w:val="left"/>
                    <w:rPr>
                      <w:rFonts w:ascii="宋体" w:hAnsi="宋体"/>
                      <w:sz w:val="21"/>
                      <w:szCs w:val="21"/>
                    </w:rPr>
                  </w:pPr>
                </w:p>
              </w:tc>
              <w:tc>
                <w:tcPr>
                  <w:tcW w:w="1050" w:type="dxa"/>
                  <w:tcBorders>
                    <w:left w:val="single" w:color="auto" w:sz="4" w:space="0"/>
                  </w:tcBorders>
                </w:tcPr>
                <w:p>
                  <w:pPr>
                    <w:adjustRightInd w:val="0"/>
                    <w:snapToGrid w:val="0"/>
                    <w:jc w:val="left"/>
                    <w:rPr>
                      <w:rFonts w:ascii="宋体" w:hAnsi="宋体"/>
                      <w:sz w:val="21"/>
                      <w:szCs w:val="21"/>
                    </w:rPr>
                  </w:pPr>
                </w:p>
              </w:tc>
              <w:tc>
                <w:tcPr>
                  <w:tcW w:w="721" w:type="dxa"/>
                  <w:tcBorders>
                    <w:right w:val="single" w:color="auto" w:sz="4" w:space="0"/>
                  </w:tcBorders>
                </w:tcPr>
                <w:p>
                  <w:pPr>
                    <w:adjustRightInd w:val="0"/>
                    <w:snapToGrid w:val="0"/>
                    <w:jc w:val="left"/>
                    <w:rPr>
                      <w:rFonts w:ascii="宋体" w:hAnsi="宋体"/>
                      <w:sz w:val="21"/>
                      <w:szCs w:val="21"/>
                    </w:rPr>
                  </w:pPr>
                </w:p>
              </w:tc>
              <w:tc>
                <w:tcPr>
                  <w:tcW w:w="1724" w:type="dxa"/>
                  <w:tcBorders>
                    <w:left w:val="single" w:color="auto" w:sz="4" w:space="0"/>
                  </w:tcBorders>
                </w:tcPr>
                <w:p>
                  <w:pPr>
                    <w:adjustRightInd w:val="0"/>
                    <w:snapToGrid w:val="0"/>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jc w:val="center"/>
              </w:trPr>
              <w:tc>
                <w:tcPr>
                  <w:tcW w:w="656" w:type="dxa"/>
                  <w:tcBorders>
                    <w:right w:val="single" w:color="auto" w:sz="4" w:space="0"/>
                  </w:tcBorders>
                </w:tcPr>
                <w:p>
                  <w:pPr>
                    <w:adjustRightInd w:val="0"/>
                    <w:snapToGrid w:val="0"/>
                    <w:jc w:val="left"/>
                    <w:rPr>
                      <w:rFonts w:ascii="宋体" w:hAnsi="宋体"/>
                      <w:sz w:val="21"/>
                      <w:szCs w:val="21"/>
                    </w:rPr>
                  </w:pPr>
                </w:p>
              </w:tc>
              <w:tc>
                <w:tcPr>
                  <w:tcW w:w="2071" w:type="dxa"/>
                  <w:tcBorders>
                    <w:left w:val="single" w:color="auto" w:sz="4" w:space="0"/>
                  </w:tcBorders>
                </w:tcPr>
                <w:p>
                  <w:pPr>
                    <w:adjustRightInd w:val="0"/>
                    <w:snapToGrid w:val="0"/>
                    <w:jc w:val="left"/>
                    <w:rPr>
                      <w:rFonts w:ascii="宋体" w:hAnsi="宋体"/>
                      <w:sz w:val="21"/>
                      <w:szCs w:val="21"/>
                    </w:rPr>
                  </w:pPr>
                </w:p>
              </w:tc>
              <w:tc>
                <w:tcPr>
                  <w:tcW w:w="828" w:type="dxa"/>
                </w:tcPr>
                <w:p>
                  <w:pPr>
                    <w:adjustRightInd w:val="0"/>
                    <w:snapToGrid w:val="0"/>
                    <w:jc w:val="left"/>
                    <w:rPr>
                      <w:rFonts w:ascii="宋体" w:hAnsi="宋体"/>
                      <w:sz w:val="21"/>
                      <w:szCs w:val="21"/>
                    </w:rPr>
                  </w:pPr>
                </w:p>
              </w:tc>
              <w:tc>
                <w:tcPr>
                  <w:tcW w:w="1381" w:type="dxa"/>
                </w:tcPr>
                <w:p>
                  <w:pPr>
                    <w:adjustRightInd w:val="0"/>
                    <w:snapToGrid w:val="0"/>
                    <w:jc w:val="left"/>
                    <w:rPr>
                      <w:rFonts w:ascii="宋体" w:hAnsi="宋体"/>
                      <w:sz w:val="21"/>
                      <w:szCs w:val="21"/>
                    </w:rPr>
                  </w:pPr>
                </w:p>
              </w:tc>
              <w:tc>
                <w:tcPr>
                  <w:tcW w:w="607" w:type="dxa"/>
                  <w:tcBorders>
                    <w:right w:val="single" w:color="auto" w:sz="4" w:space="0"/>
                  </w:tcBorders>
                </w:tcPr>
                <w:p>
                  <w:pPr>
                    <w:adjustRightInd w:val="0"/>
                    <w:snapToGrid w:val="0"/>
                    <w:jc w:val="left"/>
                    <w:rPr>
                      <w:rFonts w:ascii="宋体" w:hAnsi="宋体"/>
                      <w:sz w:val="21"/>
                      <w:szCs w:val="21"/>
                    </w:rPr>
                  </w:pPr>
                </w:p>
              </w:tc>
              <w:tc>
                <w:tcPr>
                  <w:tcW w:w="1050" w:type="dxa"/>
                  <w:tcBorders>
                    <w:left w:val="single" w:color="auto" w:sz="4" w:space="0"/>
                  </w:tcBorders>
                </w:tcPr>
                <w:p>
                  <w:pPr>
                    <w:adjustRightInd w:val="0"/>
                    <w:snapToGrid w:val="0"/>
                    <w:jc w:val="left"/>
                    <w:rPr>
                      <w:rFonts w:ascii="宋体" w:hAnsi="宋体"/>
                      <w:sz w:val="21"/>
                      <w:szCs w:val="21"/>
                    </w:rPr>
                  </w:pPr>
                </w:p>
              </w:tc>
              <w:tc>
                <w:tcPr>
                  <w:tcW w:w="721" w:type="dxa"/>
                  <w:tcBorders>
                    <w:right w:val="single" w:color="auto" w:sz="4" w:space="0"/>
                  </w:tcBorders>
                </w:tcPr>
                <w:p>
                  <w:pPr>
                    <w:adjustRightInd w:val="0"/>
                    <w:snapToGrid w:val="0"/>
                    <w:jc w:val="left"/>
                    <w:rPr>
                      <w:rFonts w:ascii="宋体" w:hAnsi="宋体"/>
                      <w:sz w:val="21"/>
                      <w:szCs w:val="21"/>
                    </w:rPr>
                  </w:pPr>
                </w:p>
              </w:tc>
              <w:tc>
                <w:tcPr>
                  <w:tcW w:w="1724" w:type="dxa"/>
                  <w:tcBorders>
                    <w:left w:val="single" w:color="auto" w:sz="4" w:space="0"/>
                  </w:tcBorders>
                </w:tcPr>
                <w:p>
                  <w:pPr>
                    <w:adjustRightInd w:val="0"/>
                    <w:snapToGrid w:val="0"/>
                    <w:jc w:val="left"/>
                    <w:rPr>
                      <w:rFonts w:ascii="宋体" w:hAnsi="宋体"/>
                      <w:sz w:val="21"/>
                      <w:szCs w:val="21"/>
                    </w:rPr>
                  </w:pPr>
                </w:p>
              </w:tc>
            </w:tr>
          </w:tbl>
          <w:p>
            <w:pPr>
              <w:adjustRightInd w:val="0"/>
              <w:snapToGrid w:val="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9360" w:type="dxa"/>
            <w:gridSpan w:val="17"/>
          </w:tcPr>
          <w:p>
            <w:pPr>
              <w:adjustRightInd w:val="0"/>
              <w:snapToGrid w:val="0"/>
              <w:jc w:val="left"/>
              <w:rPr>
                <w:rFonts w:ascii="宋体" w:hAnsi="宋体"/>
                <w:b/>
                <w:sz w:val="21"/>
                <w:szCs w:val="21"/>
              </w:rPr>
            </w:pPr>
            <w:r>
              <w:rPr>
                <w:rFonts w:hint="eastAsia" w:ascii="宋体" w:hAnsi="宋体"/>
                <w:b/>
                <w:spacing w:val="13"/>
                <w:kern w:val="0"/>
                <w:sz w:val="21"/>
                <w:szCs w:val="21"/>
              </w:rPr>
              <w:t>4.建设方案及进度安</w:t>
            </w:r>
            <w:r>
              <w:rPr>
                <w:rFonts w:hint="eastAsia" w:ascii="宋体" w:hAnsi="宋体"/>
                <w:b/>
                <w:spacing w:val="3"/>
                <w:kern w:val="0"/>
                <w:sz w:val="21"/>
                <w:szCs w:val="21"/>
              </w:rPr>
              <w:t>排</w:t>
            </w: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p>
            <w:pPr>
              <w:adjustRightInd w:val="0"/>
              <w:snapToGrid w:val="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360" w:type="dxa"/>
            <w:gridSpan w:val="17"/>
            <w:vAlign w:val="center"/>
          </w:tcPr>
          <w:p>
            <w:pPr>
              <w:adjustRightInd w:val="0"/>
              <w:snapToGrid w:val="0"/>
              <w:jc w:val="left"/>
              <w:rPr>
                <w:rFonts w:ascii="宋体" w:hAnsi="宋体"/>
                <w:b/>
                <w:sz w:val="21"/>
                <w:szCs w:val="21"/>
              </w:rPr>
            </w:pPr>
            <w:r>
              <w:rPr>
                <w:rFonts w:hint="eastAsia" w:ascii="宋体" w:hAnsi="宋体"/>
                <w:b/>
                <w:spacing w:val="14"/>
                <w:kern w:val="0"/>
                <w:sz w:val="21"/>
                <w:szCs w:val="21"/>
              </w:rPr>
              <w:t>5.主要开支项目及经费安排（单位：万元</w:t>
            </w:r>
            <w:r>
              <w:rPr>
                <w:rFonts w:hint="eastAsia" w:ascii="宋体" w:hAnsi="宋体"/>
                <w:b/>
                <w:spacing w:val="3"/>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127" w:type="dxa"/>
            <w:gridSpan w:val="2"/>
            <w:vAlign w:val="center"/>
          </w:tcPr>
          <w:p>
            <w:pPr>
              <w:adjustRightInd w:val="0"/>
              <w:snapToGrid w:val="0"/>
              <w:jc w:val="center"/>
              <w:rPr>
                <w:rFonts w:ascii="宋体" w:hAnsi="宋体"/>
                <w:sz w:val="21"/>
                <w:szCs w:val="21"/>
              </w:rPr>
            </w:pPr>
            <w:r>
              <w:rPr>
                <w:rFonts w:hint="eastAsia" w:ascii="宋体" w:hAnsi="宋体"/>
                <w:spacing w:val="60"/>
                <w:kern w:val="0"/>
                <w:sz w:val="21"/>
                <w:szCs w:val="21"/>
              </w:rPr>
              <w:t>年</w:t>
            </w:r>
            <w:r>
              <w:rPr>
                <w:rFonts w:hint="eastAsia" w:ascii="宋体" w:hAnsi="宋体"/>
                <w:spacing w:val="-30"/>
                <w:kern w:val="0"/>
                <w:sz w:val="21"/>
                <w:szCs w:val="21"/>
              </w:rPr>
              <w:t>度</w:t>
            </w:r>
          </w:p>
        </w:tc>
        <w:tc>
          <w:tcPr>
            <w:tcW w:w="2835" w:type="dxa"/>
            <w:gridSpan w:val="5"/>
            <w:vAlign w:val="center"/>
          </w:tcPr>
          <w:p>
            <w:pPr>
              <w:adjustRightInd w:val="0"/>
              <w:snapToGrid w:val="0"/>
              <w:jc w:val="center"/>
              <w:rPr>
                <w:rFonts w:ascii="宋体" w:hAnsi="宋体"/>
                <w:sz w:val="21"/>
                <w:szCs w:val="21"/>
              </w:rPr>
            </w:pPr>
            <w:r>
              <w:rPr>
                <w:rFonts w:hint="eastAsia" w:ascii="宋体" w:hAnsi="宋体"/>
                <w:spacing w:val="20"/>
                <w:kern w:val="0"/>
                <w:sz w:val="21"/>
                <w:szCs w:val="21"/>
              </w:rPr>
              <w:t>仪器设</w:t>
            </w:r>
            <w:r>
              <w:rPr>
                <w:rFonts w:hint="eastAsia" w:ascii="宋体" w:hAnsi="宋体"/>
                <w:kern w:val="0"/>
                <w:sz w:val="21"/>
                <w:szCs w:val="21"/>
              </w:rPr>
              <w:t>备</w:t>
            </w:r>
          </w:p>
        </w:tc>
        <w:tc>
          <w:tcPr>
            <w:tcW w:w="1275" w:type="dxa"/>
            <w:gridSpan w:val="3"/>
            <w:vAlign w:val="center"/>
          </w:tcPr>
          <w:p>
            <w:pPr>
              <w:adjustRightInd w:val="0"/>
              <w:snapToGrid w:val="0"/>
              <w:jc w:val="center"/>
              <w:rPr>
                <w:rFonts w:ascii="宋体" w:hAnsi="宋体"/>
                <w:sz w:val="21"/>
                <w:szCs w:val="21"/>
              </w:rPr>
            </w:pPr>
            <w:r>
              <w:rPr>
                <w:rFonts w:hint="eastAsia" w:ascii="宋体" w:hAnsi="宋体"/>
                <w:spacing w:val="20"/>
                <w:kern w:val="0"/>
                <w:sz w:val="21"/>
                <w:szCs w:val="21"/>
              </w:rPr>
              <w:t>环境改</w:t>
            </w:r>
            <w:r>
              <w:rPr>
                <w:rFonts w:hint="eastAsia" w:ascii="宋体" w:hAnsi="宋体"/>
                <w:kern w:val="0"/>
                <w:sz w:val="21"/>
                <w:szCs w:val="21"/>
              </w:rPr>
              <w:t>造</w:t>
            </w:r>
          </w:p>
        </w:tc>
        <w:tc>
          <w:tcPr>
            <w:tcW w:w="1321" w:type="dxa"/>
            <w:gridSpan w:val="3"/>
            <w:vAlign w:val="center"/>
          </w:tcPr>
          <w:p>
            <w:pPr>
              <w:adjustRightInd w:val="0"/>
              <w:snapToGrid w:val="0"/>
              <w:jc w:val="center"/>
              <w:rPr>
                <w:rFonts w:ascii="宋体" w:hAnsi="宋体"/>
                <w:sz w:val="21"/>
                <w:szCs w:val="21"/>
              </w:rPr>
            </w:pPr>
            <w:r>
              <w:rPr>
                <w:rFonts w:hint="eastAsia" w:ascii="宋体" w:hAnsi="宋体"/>
                <w:spacing w:val="20"/>
                <w:kern w:val="0"/>
                <w:sz w:val="21"/>
                <w:szCs w:val="21"/>
              </w:rPr>
              <w:t>实验家</w:t>
            </w:r>
            <w:r>
              <w:rPr>
                <w:rFonts w:hint="eastAsia" w:ascii="宋体" w:hAnsi="宋体"/>
                <w:kern w:val="0"/>
                <w:sz w:val="21"/>
                <w:szCs w:val="21"/>
              </w:rPr>
              <w:t>具</w:t>
            </w:r>
          </w:p>
        </w:tc>
        <w:tc>
          <w:tcPr>
            <w:tcW w:w="1231" w:type="dxa"/>
            <w:gridSpan w:val="2"/>
            <w:vAlign w:val="center"/>
          </w:tcPr>
          <w:p>
            <w:pPr>
              <w:adjustRightInd w:val="0"/>
              <w:snapToGrid w:val="0"/>
              <w:jc w:val="center"/>
              <w:rPr>
                <w:rFonts w:ascii="宋体" w:hAnsi="宋体"/>
                <w:sz w:val="21"/>
                <w:szCs w:val="21"/>
              </w:rPr>
            </w:pPr>
            <w:r>
              <w:rPr>
                <w:rFonts w:hint="eastAsia" w:ascii="宋体" w:hAnsi="宋体"/>
                <w:spacing w:val="60"/>
                <w:kern w:val="0"/>
                <w:sz w:val="21"/>
                <w:szCs w:val="21"/>
              </w:rPr>
              <w:t>其</w:t>
            </w:r>
            <w:r>
              <w:rPr>
                <w:rFonts w:hint="eastAsia" w:ascii="宋体" w:hAnsi="宋体"/>
                <w:spacing w:val="-30"/>
                <w:kern w:val="0"/>
                <w:sz w:val="21"/>
                <w:szCs w:val="21"/>
              </w:rPr>
              <w:t>他</w:t>
            </w:r>
          </w:p>
        </w:tc>
        <w:tc>
          <w:tcPr>
            <w:tcW w:w="1571" w:type="dxa"/>
            <w:gridSpan w:val="2"/>
            <w:vAlign w:val="center"/>
          </w:tcPr>
          <w:p>
            <w:pPr>
              <w:adjustRightInd w:val="0"/>
              <w:snapToGrid w:val="0"/>
              <w:jc w:val="center"/>
              <w:rPr>
                <w:rFonts w:ascii="宋体" w:hAnsi="宋体"/>
                <w:sz w:val="21"/>
                <w:szCs w:val="21"/>
              </w:rPr>
            </w:pPr>
            <w:r>
              <w:rPr>
                <w:rFonts w:hint="eastAsia" w:ascii="宋体" w:hAnsi="宋体"/>
                <w:spacing w:val="34"/>
                <w:w w:val="90"/>
                <w:kern w:val="0"/>
                <w:sz w:val="21"/>
                <w:szCs w:val="21"/>
              </w:rPr>
              <w:t xml:space="preserve">合 </w:t>
            </w:r>
            <w:r>
              <w:rPr>
                <w:rFonts w:hint="eastAsia" w:ascii="宋体" w:hAnsi="宋体"/>
                <w:spacing w:val="-33"/>
                <w:w w:val="90"/>
                <w:kern w:val="0"/>
                <w:sz w:val="21"/>
                <w:szCs w:val="21"/>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27" w:type="dxa"/>
            <w:gridSpan w:val="2"/>
            <w:vAlign w:val="center"/>
          </w:tcPr>
          <w:p>
            <w:pPr>
              <w:adjustRightInd w:val="0"/>
              <w:snapToGrid w:val="0"/>
              <w:jc w:val="center"/>
              <w:rPr>
                <w:rFonts w:ascii="宋体" w:hAnsi="宋体"/>
                <w:sz w:val="21"/>
                <w:szCs w:val="21"/>
              </w:rPr>
            </w:pPr>
          </w:p>
        </w:tc>
        <w:tc>
          <w:tcPr>
            <w:tcW w:w="2835" w:type="dxa"/>
            <w:gridSpan w:val="5"/>
            <w:vAlign w:val="center"/>
          </w:tcPr>
          <w:p>
            <w:pPr>
              <w:adjustRightInd w:val="0"/>
              <w:snapToGrid w:val="0"/>
              <w:jc w:val="center"/>
              <w:rPr>
                <w:rFonts w:ascii="宋体" w:hAnsi="宋体"/>
                <w:sz w:val="21"/>
                <w:szCs w:val="21"/>
              </w:rPr>
            </w:pPr>
          </w:p>
        </w:tc>
        <w:tc>
          <w:tcPr>
            <w:tcW w:w="1275" w:type="dxa"/>
            <w:gridSpan w:val="3"/>
            <w:vAlign w:val="center"/>
          </w:tcPr>
          <w:p>
            <w:pPr>
              <w:adjustRightInd w:val="0"/>
              <w:snapToGrid w:val="0"/>
              <w:jc w:val="center"/>
              <w:rPr>
                <w:rFonts w:ascii="宋体" w:hAnsi="宋体"/>
                <w:sz w:val="21"/>
                <w:szCs w:val="21"/>
              </w:rPr>
            </w:pPr>
          </w:p>
        </w:tc>
        <w:tc>
          <w:tcPr>
            <w:tcW w:w="1321" w:type="dxa"/>
            <w:gridSpan w:val="3"/>
            <w:vAlign w:val="center"/>
          </w:tcPr>
          <w:p>
            <w:pPr>
              <w:adjustRightInd w:val="0"/>
              <w:snapToGrid w:val="0"/>
              <w:jc w:val="center"/>
              <w:rPr>
                <w:rFonts w:ascii="宋体" w:hAnsi="宋体"/>
                <w:sz w:val="21"/>
                <w:szCs w:val="21"/>
              </w:rPr>
            </w:pPr>
          </w:p>
        </w:tc>
        <w:tc>
          <w:tcPr>
            <w:tcW w:w="1231" w:type="dxa"/>
            <w:gridSpan w:val="2"/>
            <w:vAlign w:val="center"/>
          </w:tcPr>
          <w:p>
            <w:pPr>
              <w:adjustRightInd w:val="0"/>
              <w:snapToGrid w:val="0"/>
              <w:jc w:val="center"/>
              <w:rPr>
                <w:rFonts w:ascii="宋体" w:hAnsi="宋体"/>
                <w:sz w:val="21"/>
                <w:szCs w:val="21"/>
              </w:rPr>
            </w:pPr>
          </w:p>
        </w:tc>
        <w:tc>
          <w:tcPr>
            <w:tcW w:w="1571" w:type="dxa"/>
            <w:gridSpan w:val="2"/>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27" w:type="dxa"/>
            <w:gridSpan w:val="2"/>
            <w:vAlign w:val="center"/>
          </w:tcPr>
          <w:p>
            <w:pPr>
              <w:adjustRightInd w:val="0"/>
              <w:snapToGrid w:val="0"/>
              <w:jc w:val="center"/>
              <w:rPr>
                <w:rFonts w:ascii="宋体" w:hAnsi="宋体"/>
                <w:sz w:val="21"/>
                <w:szCs w:val="21"/>
              </w:rPr>
            </w:pPr>
          </w:p>
        </w:tc>
        <w:tc>
          <w:tcPr>
            <w:tcW w:w="2835" w:type="dxa"/>
            <w:gridSpan w:val="5"/>
            <w:vAlign w:val="center"/>
          </w:tcPr>
          <w:p>
            <w:pPr>
              <w:adjustRightInd w:val="0"/>
              <w:snapToGrid w:val="0"/>
              <w:jc w:val="center"/>
              <w:rPr>
                <w:rFonts w:ascii="宋体" w:hAnsi="宋体"/>
                <w:sz w:val="21"/>
                <w:szCs w:val="21"/>
              </w:rPr>
            </w:pPr>
          </w:p>
        </w:tc>
        <w:tc>
          <w:tcPr>
            <w:tcW w:w="1275" w:type="dxa"/>
            <w:gridSpan w:val="3"/>
            <w:vAlign w:val="center"/>
          </w:tcPr>
          <w:p>
            <w:pPr>
              <w:adjustRightInd w:val="0"/>
              <w:snapToGrid w:val="0"/>
              <w:jc w:val="center"/>
              <w:rPr>
                <w:rFonts w:ascii="宋体" w:hAnsi="宋体"/>
                <w:sz w:val="21"/>
                <w:szCs w:val="21"/>
              </w:rPr>
            </w:pPr>
          </w:p>
        </w:tc>
        <w:tc>
          <w:tcPr>
            <w:tcW w:w="1321" w:type="dxa"/>
            <w:gridSpan w:val="3"/>
            <w:vAlign w:val="center"/>
          </w:tcPr>
          <w:p>
            <w:pPr>
              <w:adjustRightInd w:val="0"/>
              <w:snapToGrid w:val="0"/>
              <w:jc w:val="center"/>
              <w:rPr>
                <w:rFonts w:ascii="宋体" w:hAnsi="宋体"/>
                <w:sz w:val="21"/>
                <w:szCs w:val="21"/>
              </w:rPr>
            </w:pPr>
          </w:p>
        </w:tc>
        <w:tc>
          <w:tcPr>
            <w:tcW w:w="1231" w:type="dxa"/>
            <w:gridSpan w:val="2"/>
            <w:vAlign w:val="center"/>
          </w:tcPr>
          <w:p>
            <w:pPr>
              <w:adjustRightInd w:val="0"/>
              <w:snapToGrid w:val="0"/>
              <w:jc w:val="center"/>
              <w:rPr>
                <w:rFonts w:ascii="宋体" w:hAnsi="宋体"/>
                <w:sz w:val="21"/>
                <w:szCs w:val="21"/>
              </w:rPr>
            </w:pPr>
          </w:p>
        </w:tc>
        <w:tc>
          <w:tcPr>
            <w:tcW w:w="1571" w:type="dxa"/>
            <w:gridSpan w:val="2"/>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27" w:type="dxa"/>
            <w:gridSpan w:val="2"/>
            <w:vAlign w:val="center"/>
          </w:tcPr>
          <w:p>
            <w:pPr>
              <w:adjustRightInd w:val="0"/>
              <w:snapToGrid w:val="0"/>
              <w:rPr>
                <w:rFonts w:ascii="宋体" w:hAnsi="宋体"/>
                <w:sz w:val="21"/>
                <w:szCs w:val="21"/>
              </w:rPr>
            </w:pPr>
          </w:p>
        </w:tc>
        <w:tc>
          <w:tcPr>
            <w:tcW w:w="2835" w:type="dxa"/>
            <w:gridSpan w:val="5"/>
            <w:vAlign w:val="center"/>
          </w:tcPr>
          <w:p>
            <w:pPr>
              <w:adjustRightInd w:val="0"/>
              <w:snapToGrid w:val="0"/>
              <w:jc w:val="center"/>
              <w:rPr>
                <w:rFonts w:ascii="宋体" w:hAnsi="宋体"/>
                <w:sz w:val="21"/>
                <w:szCs w:val="21"/>
              </w:rPr>
            </w:pPr>
          </w:p>
        </w:tc>
        <w:tc>
          <w:tcPr>
            <w:tcW w:w="1275" w:type="dxa"/>
            <w:gridSpan w:val="3"/>
            <w:vAlign w:val="center"/>
          </w:tcPr>
          <w:p>
            <w:pPr>
              <w:adjustRightInd w:val="0"/>
              <w:snapToGrid w:val="0"/>
              <w:jc w:val="center"/>
              <w:rPr>
                <w:rFonts w:ascii="宋体" w:hAnsi="宋体"/>
                <w:sz w:val="21"/>
                <w:szCs w:val="21"/>
              </w:rPr>
            </w:pPr>
          </w:p>
        </w:tc>
        <w:tc>
          <w:tcPr>
            <w:tcW w:w="1321" w:type="dxa"/>
            <w:gridSpan w:val="3"/>
            <w:vAlign w:val="center"/>
          </w:tcPr>
          <w:p>
            <w:pPr>
              <w:adjustRightInd w:val="0"/>
              <w:snapToGrid w:val="0"/>
              <w:jc w:val="center"/>
              <w:rPr>
                <w:rFonts w:ascii="宋体" w:hAnsi="宋体"/>
                <w:sz w:val="21"/>
                <w:szCs w:val="21"/>
              </w:rPr>
            </w:pPr>
          </w:p>
        </w:tc>
        <w:tc>
          <w:tcPr>
            <w:tcW w:w="1231" w:type="dxa"/>
            <w:gridSpan w:val="2"/>
            <w:vAlign w:val="center"/>
          </w:tcPr>
          <w:p>
            <w:pPr>
              <w:adjustRightInd w:val="0"/>
              <w:snapToGrid w:val="0"/>
              <w:jc w:val="center"/>
              <w:rPr>
                <w:rFonts w:ascii="宋体" w:hAnsi="宋体"/>
                <w:sz w:val="21"/>
                <w:szCs w:val="21"/>
              </w:rPr>
            </w:pPr>
          </w:p>
        </w:tc>
        <w:tc>
          <w:tcPr>
            <w:tcW w:w="1571" w:type="dxa"/>
            <w:gridSpan w:val="2"/>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27" w:type="dxa"/>
            <w:gridSpan w:val="2"/>
            <w:vAlign w:val="center"/>
          </w:tcPr>
          <w:p>
            <w:pPr>
              <w:adjustRightInd w:val="0"/>
              <w:snapToGrid w:val="0"/>
              <w:jc w:val="center"/>
              <w:rPr>
                <w:rFonts w:ascii="宋体" w:hAnsi="宋体"/>
                <w:sz w:val="21"/>
                <w:szCs w:val="21"/>
              </w:rPr>
            </w:pPr>
            <w:r>
              <w:rPr>
                <w:rFonts w:hint="eastAsia" w:ascii="宋体" w:hAnsi="宋体"/>
                <w:spacing w:val="26"/>
                <w:w w:val="83"/>
                <w:kern w:val="0"/>
                <w:sz w:val="21"/>
                <w:szCs w:val="21"/>
              </w:rPr>
              <w:t xml:space="preserve">小  </w:t>
            </w:r>
            <w:r>
              <w:rPr>
                <w:rFonts w:hint="eastAsia" w:ascii="宋体" w:hAnsi="宋体"/>
                <w:spacing w:val="-38"/>
                <w:w w:val="83"/>
                <w:kern w:val="0"/>
                <w:sz w:val="21"/>
                <w:szCs w:val="21"/>
              </w:rPr>
              <w:t>计</w:t>
            </w:r>
          </w:p>
        </w:tc>
        <w:tc>
          <w:tcPr>
            <w:tcW w:w="2835" w:type="dxa"/>
            <w:gridSpan w:val="5"/>
            <w:vAlign w:val="center"/>
          </w:tcPr>
          <w:p>
            <w:pPr>
              <w:adjustRightInd w:val="0"/>
              <w:snapToGrid w:val="0"/>
              <w:jc w:val="center"/>
              <w:rPr>
                <w:rFonts w:ascii="宋体" w:hAnsi="宋体"/>
                <w:sz w:val="21"/>
                <w:szCs w:val="21"/>
              </w:rPr>
            </w:pPr>
          </w:p>
        </w:tc>
        <w:tc>
          <w:tcPr>
            <w:tcW w:w="1275" w:type="dxa"/>
            <w:gridSpan w:val="3"/>
            <w:vAlign w:val="center"/>
          </w:tcPr>
          <w:p>
            <w:pPr>
              <w:adjustRightInd w:val="0"/>
              <w:snapToGrid w:val="0"/>
              <w:jc w:val="center"/>
              <w:rPr>
                <w:rFonts w:ascii="宋体" w:hAnsi="宋体"/>
                <w:sz w:val="21"/>
                <w:szCs w:val="21"/>
              </w:rPr>
            </w:pPr>
          </w:p>
        </w:tc>
        <w:tc>
          <w:tcPr>
            <w:tcW w:w="1321" w:type="dxa"/>
            <w:gridSpan w:val="3"/>
            <w:vAlign w:val="center"/>
          </w:tcPr>
          <w:p>
            <w:pPr>
              <w:adjustRightInd w:val="0"/>
              <w:snapToGrid w:val="0"/>
              <w:jc w:val="center"/>
              <w:rPr>
                <w:rFonts w:ascii="宋体" w:hAnsi="宋体"/>
                <w:sz w:val="21"/>
                <w:szCs w:val="21"/>
              </w:rPr>
            </w:pPr>
          </w:p>
        </w:tc>
        <w:tc>
          <w:tcPr>
            <w:tcW w:w="1231" w:type="dxa"/>
            <w:gridSpan w:val="2"/>
            <w:vAlign w:val="center"/>
          </w:tcPr>
          <w:p>
            <w:pPr>
              <w:adjustRightInd w:val="0"/>
              <w:snapToGrid w:val="0"/>
              <w:jc w:val="center"/>
              <w:rPr>
                <w:rFonts w:ascii="宋体" w:hAnsi="宋体"/>
                <w:sz w:val="21"/>
                <w:szCs w:val="21"/>
              </w:rPr>
            </w:pPr>
          </w:p>
        </w:tc>
        <w:tc>
          <w:tcPr>
            <w:tcW w:w="1571" w:type="dxa"/>
            <w:gridSpan w:val="2"/>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360" w:type="dxa"/>
            <w:gridSpan w:val="17"/>
            <w:vAlign w:val="center"/>
          </w:tcPr>
          <w:p>
            <w:pPr>
              <w:adjustRightInd w:val="0"/>
              <w:snapToGrid w:val="0"/>
              <w:jc w:val="left"/>
              <w:rPr>
                <w:rFonts w:ascii="宋体" w:hAnsi="宋体"/>
                <w:b/>
                <w:sz w:val="21"/>
                <w:szCs w:val="21"/>
              </w:rPr>
            </w:pPr>
            <w:r>
              <w:rPr>
                <w:rFonts w:hint="eastAsia" w:ascii="宋体" w:hAnsi="宋体"/>
                <w:b/>
                <w:spacing w:val="14"/>
                <w:kern w:val="0"/>
                <w:sz w:val="21"/>
                <w:szCs w:val="21"/>
              </w:rPr>
              <w:t>6.计划购置仪器设备（本项可另附表</w:t>
            </w:r>
            <w:r>
              <w:rPr>
                <w:rFonts w:hint="eastAsia" w:ascii="宋体" w:hAnsi="宋体"/>
                <w:b/>
                <w:spacing w:val="1"/>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r>
              <w:rPr>
                <w:rFonts w:hint="eastAsia" w:ascii="宋体" w:hAnsi="宋体"/>
                <w:kern w:val="0"/>
                <w:sz w:val="21"/>
                <w:szCs w:val="21"/>
              </w:rPr>
              <w:t>设备名称</w:t>
            </w:r>
          </w:p>
        </w:tc>
        <w:tc>
          <w:tcPr>
            <w:tcW w:w="1134" w:type="dxa"/>
            <w:gridSpan w:val="2"/>
            <w:vAlign w:val="center"/>
          </w:tcPr>
          <w:p>
            <w:pPr>
              <w:adjustRightInd w:val="0"/>
              <w:snapToGrid w:val="0"/>
              <w:jc w:val="center"/>
              <w:rPr>
                <w:rFonts w:ascii="宋体" w:hAnsi="宋体"/>
                <w:sz w:val="21"/>
                <w:szCs w:val="21"/>
              </w:rPr>
            </w:pPr>
            <w:r>
              <w:rPr>
                <w:rFonts w:hint="eastAsia" w:ascii="宋体" w:hAnsi="宋体"/>
                <w:kern w:val="0"/>
                <w:sz w:val="21"/>
                <w:szCs w:val="21"/>
              </w:rPr>
              <w:t>型号</w:t>
            </w:r>
          </w:p>
          <w:p>
            <w:pPr>
              <w:adjustRightInd w:val="0"/>
              <w:snapToGrid w:val="0"/>
              <w:jc w:val="center"/>
              <w:rPr>
                <w:rFonts w:ascii="宋体" w:hAnsi="宋体"/>
                <w:sz w:val="21"/>
                <w:szCs w:val="21"/>
              </w:rPr>
            </w:pPr>
            <w:r>
              <w:rPr>
                <w:rFonts w:hint="eastAsia" w:ascii="宋体" w:hAnsi="宋体"/>
                <w:kern w:val="0"/>
                <w:sz w:val="21"/>
                <w:szCs w:val="21"/>
              </w:rPr>
              <w:t>规格</w:t>
            </w:r>
          </w:p>
        </w:tc>
        <w:tc>
          <w:tcPr>
            <w:tcW w:w="1218" w:type="dxa"/>
            <w:gridSpan w:val="3"/>
            <w:vAlign w:val="center"/>
          </w:tcPr>
          <w:p>
            <w:pPr>
              <w:adjustRightInd w:val="0"/>
              <w:snapToGrid w:val="0"/>
              <w:jc w:val="center"/>
              <w:rPr>
                <w:rFonts w:ascii="宋体" w:hAnsi="宋体"/>
                <w:sz w:val="21"/>
                <w:szCs w:val="21"/>
              </w:rPr>
            </w:pPr>
            <w:r>
              <w:rPr>
                <w:rFonts w:hint="eastAsia" w:ascii="宋体" w:hAnsi="宋体"/>
                <w:w w:val="93"/>
                <w:kern w:val="0"/>
                <w:sz w:val="21"/>
                <w:szCs w:val="21"/>
              </w:rPr>
              <w:t>单价(万元</w:t>
            </w:r>
            <w:r>
              <w:rPr>
                <w:rFonts w:hint="eastAsia" w:ascii="宋体" w:hAnsi="宋体"/>
                <w:spacing w:val="3"/>
                <w:w w:val="93"/>
                <w:kern w:val="0"/>
                <w:sz w:val="21"/>
                <w:szCs w:val="21"/>
              </w:rPr>
              <w:t>)</w:t>
            </w:r>
          </w:p>
        </w:tc>
        <w:tc>
          <w:tcPr>
            <w:tcW w:w="1198" w:type="dxa"/>
            <w:gridSpan w:val="2"/>
            <w:vAlign w:val="center"/>
          </w:tcPr>
          <w:p>
            <w:pPr>
              <w:adjustRightInd w:val="0"/>
              <w:snapToGrid w:val="0"/>
              <w:jc w:val="center"/>
              <w:rPr>
                <w:rFonts w:ascii="宋体" w:hAnsi="宋体"/>
                <w:sz w:val="21"/>
                <w:szCs w:val="21"/>
              </w:rPr>
            </w:pPr>
            <w:r>
              <w:rPr>
                <w:rFonts w:hint="eastAsia" w:ascii="宋体" w:hAnsi="宋体"/>
                <w:kern w:val="0"/>
                <w:sz w:val="21"/>
                <w:szCs w:val="21"/>
              </w:rPr>
              <w:t>数量</w:t>
            </w:r>
          </w:p>
        </w:tc>
        <w:tc>
          <w:tcPr>
            <w:tcW w:w="1170" w:type="dxa"/>
            <w:gridSpan w:val="2"/>
            <w:vAlign w:val="center"/>
          </w:tcPr>
          <w:p>
            <w:pPr>
              <w:adjustRightInd w:val="0"/>
              <w:snapToGrid w:val="0"/>
              <w:jc w:val="center"/>
              <w:rPr>
                <w:rFonts w:ascii="宋体" w:hAnsi="宋体"/>
                <w:sz w:val="21"/>
                <w:szCs w:val="21"/>
              </w:rPr>
            </w:pPr>
            <w:r>
              <w:rPr>
                <w:rFonts w:hint="eastAsia" w:ascii="宋体" w:hAnsi="宋体"/>
                <w:w w:val="93"/>
                <w:kern w:val="0"/>
                <w:sz w:val="21"/>
                <w:szCs w:val="21"/>
              </w:rPr>
              <w:t>总价(万元</w:t>
            </w:r>
            <w:r>
              <w:rPr>
                <w:rFonts w:hint="eastAsia" w:ascii="宋体" w:hAnsi="宋体"/>
                <w:spacing w:val="3"/>
                <w:w w:val="93"/>
                <w:kern w:val="0"/>
                <w:sz w:val="21"/>
                <w:szCs w:val="21"/>
              </w:rPr>
              <w:t>)</w:t>
            </w:r>
          </w:p>
        </w:tc>
        <w:tc>
          <w:tcPr>
            <w:tcW w:w="1854" w:type="dxa"/>
            <w:gridSpan w:val="4"/>
            <w:vAlign w:val="center"/>
          </w:tcPr>
          <w:p>
            <w:pPr>
              <w:adjustRightInd w:val="0"/>
              <w:snapToGrid w:val="0"/>
              <w:jc w:val="center"/>
              <w:rPr>
                <w:rFonts w:ascii="宋体" w:hAnsi="宋体"/>
                <w:sz w:val="21"/>
                <w:szCs w:val="21"/>
              </w:rPr>
            </w:pPr>
            <w:r>
              <w:rPr>
                <w:rFonts w:hint="eastAsia" w:ascii="宋体" w:hAnsi="宋体"/>
                <w:kern w:val="0"/>
                <w:sz w:val="21"/>
                <w:szCs w:val="21"/>
              </w:rPr>
              <w:t>推荐厂家</w:t>
            </w:r>
          </w:p>
        </w:tc>
        <w:tc>
          <w:tcPr>
            <w:tcW w:w="1099" w:type="dxa"/>
            <w:vAlign w:val="center"/>
          </w:tcPr>
          <w:p>
            <w:pPr>
              <w:adjustRightInd w:val="0"/>
              <w:snapToGrid w:val="0"/>
              <w:jc w:val="center"/>
              <w:rPr>
                <w:rFonts w:ascii="宋体" w:hAnsi="宋体"/>
                <w:sz w:val="21"/>
                <w:szCs w:val="21"/>
              </w:rPr>
            </w:pPr>
            <w:r>
              <w:rPr>
                <w:rFonts w:hint="eastAsia" w:ascii="宋体" w:hAnsi="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687" w:type="dxa"/>
            <w:gridSpan w:val="3"/>
            <w:vAlign w:val="center"/>
          </w:tcPr>
          <w:p>
            <w:pPr>
              <w:adjustRightInd w:val="0"/>
              <w:snapToGrid w:val="0"/>
              <w:jc w:val="center"/>
              <w:rPr>
                <w:rFonts w:ascii="宋体" w:hAnsi="宋体"/>
                <w:sz w:val="21"/>
                <w:szCs w:val="21"/>
              </w:rPr>
            </w:pPr>
          </w:p>
        </w:tc>
        <w:tc>
          <w:tcPr>
            <w:tcW w:w="1134" w:type="dxa"/>
            <w:gridSpan w:val="2"/>
            <w:vAlign w:val="center"/>
          </w:tcPr>
          <w:p>
            <w:pPr>
              <w:adjustRightInd w:val="0"/>
              <w:snapToGrid w:val="0"/>
              <w:jc w:val="center"/>
              <w:rPr>
                <w:rFonts w:ascii="宋体" w:hAnsi="宋体"/>
                <w:sz w:val="21"/>
                <w:szCs w:val="21"/>
              </w:rPr>
            </w:pPr>
          </w:p>
        </w:tc>
        <w:tc>
          <w:tcPr>
            <w:tcW w:w="1218" w:type="dxa"/>
            <w:gridSpan w:val="3"/>
            <w:vAlign w:val="center"/>
          </w:tcPr>
          <w:p>
            <w:pPr>
              <w:adjustRightInd w:val="0"/>
              <w:snapToGrid w:val="0"/>
              <w:jc w:val="center"/>
              <w:rPr>
                <w:rFonts w:ascii="宋体" w:hAnsi="宋体"/>
                <w:sz w:val="21"/>
                <w:szCs w:val="21"/>
              </w:rPr>
            </w:pP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039" w:type="dxa"/>
            <w:gridSpan w:val="8"/>
            <w:vAlign w:val="center"/>
          </w:tcPr>
          <w:p>
            <w:pPr>
              <w:adjustRightInd w:val="0"/>
              <w:snapToGrid w:val="0"/>
              <w:jc w:val="center"/>
              <w:rPr>
                <w:rFonts w:ascii="宋体" w:hAnsi="宋体"/>
                <w:sz w:val="21"/>
                <w:szCs w:val="21"/>
              </w:rPr>
            </w:pPr>
            <w:r>
              <w:rPr>
                <w:rFonts w:hint="eastAsia" w:ascii="宋体" w:hAnsi="宋体"/>
                <w:spacing w:val="60"/>
                <w:kern w:val="0"/>
                <w:sz w:val="21"/>
                <w:szCs w:val="21"/>
              </w:rPr>
              <w:t>合</w:t>
            </w:r>
            <w:r>
              <w:rPr>
                <w:rFonts w:hint="eastAsia" w:ascii="宋体" w:hAnsi="宋体"/>
                <w:spacing w:val="-30"/>
                <w:kern w:val="0"/>
                <w:sz w:val="21"/>
                <w:szCs w:val="21"/>
              </w:rPr>
              <w:t>计</w:t>
            </w:r>
          </w:p>
        </w:tc>
        <w:tc>
          <w:tcPr>
            <w:tcW w:w="1198" w:type="dxa"/>
            <w:gridSpan w:val="2"/>
            <w:vAlign w:val="center"/>
          </w:tcPr>
          <w:p>
            <w:pPr>
              <w:adjustRightInd w:val="0"/>
              <w:snapToGrid w:val="0"/>
              <w:jc w:val="center"/>
              <w:rPr>
                <w:rFonts w:ascii="宋体" w:hAnsi="宋体"/>
                <w:sz w:val="21"/>
                <w:szCs w:val="21"/>
              </w:rPr>
            </w:pPr>
          </w:p>
        </w:tc>
        <w:tc>
          <w:tcPr>
            <w:tcW w:w="1170" w:type="dxa"/>
            <w:gridSpan w:val="2"/>
            <w:vAlign w:val="center"/>
          </w:tcPr>
          <w:p>
            <w:pPr>
              <w:adjustRightInd w:val="0"/>
              <w:snapToGrid w:val="0"/>
              <w:jc w:val="center"/>
              <w:rPr>
                <w:rFonts w:ascii="宋体" w:hAnsi="宋体"/>
                <w:sz w:val="21"/>
                <w:szCs w:val="21"/>
              </w:rPr>
            </w:pPr>
          </w:p>
        </w:tc>
        <w:tc>
          <w:tcPr>
            <w:tcW w:w="1854" w:type="dxa"/>
            <w:gridSpan w:val="4"/>
            <w:vAlign w:val="center"/>
          </w:tcPr>
          <w:p>
            <w:pPr>
              <w:adjustRightInd w:val="0"/>
              <w:snapToGrid w:val="0"/>
              <w:jc w:val="center"/>
              <w:rPr>
                <w:rFonts w:ascii="宋体" w:hAnsi="宋体"/>
                <w:sz w:val="21"/>
                <w:szCs w:val="21"/>
              </w:rPr>
            </w:pPr>
          </w:p>
        </w:tc>
        <w:tc>
          <w:tcPr>
            <w:tcW w:w="1099" w:type="dxa"/>
            <w:vAlign w:val="center"/>
          </w:tcPr>
          <w:p>
            <w:pPr>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2379" w:type="dxa"/>
            <w:gridSpan w:val="4"/>
            <w:tcMar>
              <w:top w:w="227" w:type="dxa"/>
            </w:tcMar>
            <w:vAlign w:val="center"/>
          </w:tcPr>
          <w:p>
            <w:pPr>
              <w:adjustRightInd w:val="0"/>
              <w:snapToGrid w:val="0"/>
              <w:ind w:firstLine="244" w:firstLineChars="100"/>
              <w:rPr>
                <w:rFonts w:ascii="宋体" w:hAnsi="宋体"/>
                <w:sz w:val="21"/>
                <w:szCs w:val="21"/>
              </w:rPr>
            </w:pPr>
            <w:r>
              <w:rPr>
                <w:rFonts w:hint="eastAsia" w:ascii="宋体" w:hAnsi="宋体"/>
                <w:spacing w:val="17"/>
                <w:kern w:val="0"/>
                <w:sz w:val="21"/>
                <w:szCs w:val="21"/>
              </w:rPr>
              <w:t>项目负责人承</w:t>
            </w:r>
            <w:r>
              <w:rPr>
                <w:rFonts w:hint="eastAsia" w:ascii="宋体" w:hAnsi="宋体"/>
                <w:spacing w:val="3"/>
                <w:kern w:val="0"/>
                <w:sz w:val="21"/>
                <w:szCs w:val="21"/>
              </w:rPr>
              <w:t>诺</w:t>
            </w:r>
          </w:p>
        </w:tc>
        <w:tc>
          <w:tcPr>
            <w:tcW w:w="6981" w:type="dxa"/>
            <w:gridSpan w:val="13"/>
          </w:tcPr>
          <w:p>
            <w:pPr>
              <w:widowControl/>
              <w:spacing w:line="360" w:lineRule="auto"/>
              <w:ind w:firstLine="480"/>
              <w:jc w:val="left"/>
              <w:rPr>
                <w:rFonts w:ascii="宋体" w:hAnsi="宋体"/>
                <w:sz w:val="21"/>
                <w:szCs w:val="21"/>
              </w:rPr>
            </w:pPr>
            <w:r>
              <w:rPr>
                <w:rFonts w:hint="eastAsia" w:ascii="宋体" w:hAnsi="宋体"/>
                <w:sz w:val="21"/>
                <w:szCs w:val="21"/>
              </w:rPr>
              <w:t>若获得项目立项，项目组将认真开展项目研究与建设工作，按期完成建设任务并通过项目验收。</w:t>
            </w:r>
          </w:p>
          <w:p>
            <w:pPr>
              <w:widowControl/>
              <w:spacing w:line="360" w:lineRule="auto"/>
              <w:ind w:firstLine="480"/>
              <w:jc w:val="left"/>
              <w:rPr>
                <w:rFonts w:ascii="宋体" w:hAnsi="宋体"/>
                <w:sz w:val="21"/>
                <w:szCs w:val="21"/>
              </w:rPr>
            </w:pPr>
          </w:p>
          <w:p>
            <w:pPr>
              <w:widowControl/>
              <w:spacing w:line="360" w:lineRule="auto"/>
              <w:ind w:firstLine="480"/>
              <w:jc w:val="left"/>
              <w:rPr>
                <w:rFonts w:ascii="宋体" w:hAnsi="宋体"/>
                <w:sz w:val="21"/>
                <w:szCs w:val="21"/>
              </w:rPr>
            </w:pPr>
          </w:p>
          <w:p>
            <w:pPr>
              <w:adjustRightInd w:val="0"/>
              <w:snapToGrid w:val="0"/>
              <w:ind w:right="480"/>
              <w:jc w:val="right"/>
              <w:rPr>
                <w:rFonts w:ascii="宋体" w:hAnsi="宋体"/>
                <w:sz w:val="21"/>
                <w:szCs w:val="21"/>
              </w:rPr>
            </w:pPr>
            <w:r>
              <w:rPr>
                <w:rFonts w:hint="eastAsia" w:ascii="宋体" w:hAnsi="宋体"/>
                <w:spacing w:val="2"/>
                <w:w w:val="76"/>
                <w:kern w:val="0"/>
                <w:sz w:val="21"/>
                <w:szCs w:val="21"/>
              </w:rPr>
              <w:t xml:space="preserve">                     项目负责人：         年  月  </w:t>
            </w:r>
            <w:r>
              <w:rPr>
                <w:rFonts w:hint="eastAsia" w:ascii="宋体" w:hAnsi="宋体"/>
                <w:spacing w:val="-38"/>
                <w:w w:val="76"/>
                <w:kern w:val="0"/>
                <w:sz w:val="21"/>
                <w:szCs w:val="21"/>
              </w:rPr>
              <w:t>日</w:t>
            </w:r>
          </w:p>
          <w:p>
            <w:pPr>
              <w:adjustRightInd w:val="0"/>
              <w:snapToGrid w:val="0"/>
              <w:ind w:right="48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379" w:type="dxa"/>
            <w:gridSpan w:val="4"/>
            <w:tcMar>
              <w:top w:w="227" w:type="dxa"/>
            </w:tcMar>
            <w:vAlign w:val="center"/>
          </w:tcPr>
          <w:p>
            <w:pPr>
              <w:adjustRightInd w:val="0"/>
              <w:snapToGrid w:val="0"/>
              <w:jc w:val="center"/>
              <w:rPr>
                <w:rFonts w:ascii="宋体" w:hAnsi="宋体"/>
                <w:sz w:val="21"/>
                <w:szCs w:val="21"/>
              </w:rPr>
            </w:pPr>
            <w:r>
              <w:rPr>
                <w:rFonts w:hint="eastAsia" w:ascii="宋体" w:hAnsi="宋体"/>
                <w:spacing w:val="18"/>
                <w:kern w:val="0"/>
                <w:sz w:val="21"/>
                <w:szCs w:val="21"/>
              </w:rPr>
              <w:t>申报部门意</w:t>
            </w:r>
            <w:r>
              <w:rPr>
                <w:rFonts w:hint="eastAsia" w:ascii="宋体" w:hAnsi="宋体"/>
                <w:kern w:val="0"/>
                <w:sz w:val="21"/>
                <w:szCs w:val="21"/>
              </w:rPr>
              <w:t>见</w:t>
            </w:r>
          </w:p>
        </w:tc>
        <w:tc>
          <w:tcPr>
            <w:tcW w:w="6981" w:type="dxa"/>
            <w:gridSpan w:val="13"/>
          </w:tcPr>
          <w:p>
            <w:pPr>
              <w:widowControl/>
              <w:jc w:val="left"/>
              <w:rPr>
                <w:rFonts w:ascii="宋体" w:hAnsi="宋体"/>
                <w:sz w:val="21"/>
                <w:szCs w:val="21"/>
              </w:rPr>
            </w:pPr>
          </w:p>
          <w:p>
            <w:pPr>
              <w:widowControl/>
              <w:jc w:val="left"/>
              <w:rPr>
                <w:rFonts w:ascii="宋体" w:hAnsi="宋体"/>
                <w:sz w:val="21"/>
                <w:szCs w:val="21"/>
              </w:rPr>
            </w:pPr>
          </w:p>
          <w:p>
            <w:pPr>
              <w:widowControl/>
              <w:jc w:val="left"/>
              <w:rPr>
                <w:rFonts w:ascii="宋体" w:hAnsi="宋体"/>
                <w:sz w:val="21"/>
                <w:szCs w:val="21"/>
              </w:rPr>
            </w:pPr>
          </w:p>
          <w:p>
            <w:pPr>
              <w:widowControl/>
              <w:jc w:val="left"/>
              <w:rPr>
                <w:rFonts w:ascii="宋体" w:hAnsi="宋体"/>
                <w:sz w:val="21"/>
                <w:szCs w:val="21"/>
              </w:rPr>
            </w:pPr>
          </w:p>
          <w:p>
            <w:pPr>
              <w:widowControl/>
              <w:jc w:val="left"/>
              <w:rPr>
                <w:rFonts w:ascii="宋体" w:hAnsi="宋体"/>
                <w:sz w:val="21"/>
                <w:szCs w:val="21"/>
              </w:rPr>
            </w:pPr>
          </w:p>
          <w:p>
            <w:pPr>
              <w:adjustRightInd w:val="0"/>
              <w:snapToGrid w:val="0"/>
              <w:ind w:firstLine="3024" w:firstLineChars="1600"/>
              <w:rPr>
                <w:rFonts w:ascii="宋体" w:hAnsi="宋体"/>
                <w:sz w:val="21"/>
                <w:szCs w:val="21"/>
              </w:rPr>
            </w:pPr>
            <w:r>
              <w:rPr>
                <w:rFonts w:hint="eastAsia" w:ascii="宋体" w:hAnsi="宋体"/>
                <w:w w:val="90"/>
                <w:kern w:val="0"/>
                <w:sz w:val="21"/>
                <w:szCs w:val="21"/>
              </w:rPr>
              <w:t xml:space="preserve">负责人：      年  月  </w:t>
            </w:r>
            <w:r>
              <w:rPr>
                <w:rFonts w:hint="eastAsia" w:ascii="宋体" w:hAnsi="宋体"/>
                <w:spacing w:val="7"/>
                <w:w w:val="90"/>
                <w:kern w:val="0"/>
                <w:sz w:val="21"/>
                <w:szCs w:val="21"/>
              </w:rPr>
              <w:t>日</w:t>
            </w:r>
          </w:p>
          <w:p>
            <w:pPr>
              <w:adjustRightInd w:val="0"/>
              <w:snapToGrid w:val="0"/>
              <w:ind w:firstLine="2730" w:firstLineChars="130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379" w:type="dxa"/>
            <w:gridSpan w:val="4"/>
            <w:tcMar>
              <w:top w:w="227" w:type="dxa"/>
            </w:tcMar>
            <w:vAlign w:val="center"/>
          </w:tcPr>
          <w:p>
            <w:pPr>
              <w:widowControl/>
              <w:jc w:val="center"/>
              <w:rPr>
                <w:rFonts w:ascii="宋体" w:hAnsi="宋体"/>
                <w:sz w:val="21"/>
                <w:szCs w:val="21"/>
              </w:rPr>
            </w:pPr>
            <w:r>
              <w:rPr>
                <w:rFonts w:hint="eastAsia" w:ascii="宋体" w:hAnsi="宋体"/>
                <w:spacing w:val="19"/>
                <w:kern w:val="0"/>
                <w:sz w:val="21"/>
                <w:szCs w:val="21"/>
              </w:rPr>
              <w:t>实验室与</w:t>
            </w:r>
            <w:r>
              <w:rPr>
                <w:rFonts w:hint="eastAsia" w:ascii="宋体" w:hAnsi="宋体"/>
                <w:kern w:val="0"/>
                <w:sz w:val="21"/>
                <w:szCs w:val="21"/>
              </w:rPr>
              <w:t>设</w:t>
            </w:r>
          </w:p>
          <w:p>
            <w:pPr>
              <w:widowControl/>
              <w:jc w:val="center"/>
              <w:rPr>
                <w:rFonts w:ascii="宋体" w:hAnsi="宋体"/>
                <w:sz w:val="21"/>
                <w:szCs w:val="21"/>
              </w:rPr>
            </w:pPr>
            <w:r>
              <w:rPr>
                <w:rFonts w:hint="eastAsia" w:ascii="宋体" w:hAnsi="宋体"/>
                <w:spacing w:val="18"/>
                <w:kern w:val="0"/>
                <w:sz w:val="21"/>
                <w:szCs w:val="21"/>
              </w:rPr>
              <w:t>备管理处意</w:t>
            </w:r>
            <w:r>
              <w:rPr>
                <w:rFonts w:hint="eastAsia" w:ascii="宋体" w:hAnsi="宋体"/>
                <w:kern w:val="0"/>
                <w:sz w:val="21"/>
                <w:szCs w:val="21"/>
              </w:rPr>
              <w:t>见</w:t>
            </w:r>
          </w:p>
        </w:tc>
        <w:tc>
          <w:tcPr>
            <w:tcW w:w="6981" w:type="dxa"/>
            <w:gridSpan w:val="13"/>
          </w:tcPr>
          <w:p>
            <w:pPr>
              <w:widowControl/>
              <w:jc w:val="left"/>
              <w:rPr>
                <w:rFonts w:ascii="宋体" w:hAnsi="宋体"/>
                <w:sz w:val="21"/>
                <w:szCs w:val="21"/>
              </w:rPr>
            </w:pPr>
          </w:p>
          <w:p>
            <w:pPr>
              <w:widowControl/>
              <w:jc w:val="left"/>
              <w:rPr>
                <w:rFonts w:ascii="宋体" w:hAnsi="宋体"/>
                <w:sz w:val="21"/>
                <w:szCs w:val="21"/>
              </w:rPr>
            </w:pPr>
          </w:p>
          <w:p>
            <w:pPr>
              <w:adjustRightInd w:val="0"/>
              <w:snapToGrid w:val="0"/>
              <w:ind w:firstLine="2730" w:firstLineChars="1300"/>
              <w:rPr>
                <w:rFonts w:ascii="宋体" w:hAnsi="宋体"/>
                <w:sz w:val="21"/>
                <w:szCs w:val="21"/>
              </w:rPr>
            </w:pPr>
          </w:p>
          <w:p>
            <w:pPr>
              <w:adjustRightInd w:val="0"/>
              <w:snapToGrid w:val="0"/>
              <w:ind w:firstLine="2940" w:firstLineChars="1400"/>
              <w:rPr>
                <w:rFonts w:ascii="宋体" w:hAnsi="宋体"/>
                <w:sz w:val="21"/>
                <w:szCs w:val="21"/>
              </w:rPr>
            </w:pPr>
          </w:p>
          <w:p>
            <w:pPr>
              <w:adjustRightInd w:val="0"/>
              <w:snapToGrid w:val="0"/>
              <w:ind w:firstLine="2940" w:firstLineChars="1400"/>
              <w:rPr>
                <w:rFonts w:ascii="宋体" w:hAnsi="宋体"/>
                <w:sz w:val="21"/>
                <w:szCs w:val="21"/>
              </w:rPr>
            </w:pPr>
          </w:p>
          <w:p>
            <w:pPr>
              <w:adjustRightInd w:val="0"/>
              <w:snapToGrid w:val="0"/>
              <w:ind w:firstLine="2940" w:firstLineChars="1400"/>
              <w:rPr>
                <w:rFonts w:ascii="宋体" w:hAnsi="宋体"/>
                <w:sz w:val="21"/>
                <w:szCs w:val="21"/>
              </w:rPr>
            </w:pPr>
          </w:p>
          <w:p>
            <w:pPr>
              <w:adjustRightInd w:val="0"/>
              <w:snapToGrid w:val="0"/>
              <w:ind w:firstLine="3152" w:firstLineChars="1600"/>
              <w:rPr>
                <w:rFonts w:ascii="宋体" w:hAnsi="宋体"/>
                <w:spacing w:val="-1"/>
                <w:w w:val="93"/>
                <w:kern w:val="0"/>
                <w:sz w:val="21"/>
                <w:szCs w:val="21"/>
              </w:rPr>
            </w:pPr>
            <w:r>
              <w:rPr>
                <w:rFonts w:hint="eastAsia" w:ascii="宋体" w:hAnsi="宋体"/>
                <w:spacing w:val="1"/>
                <w:w w:val="93"/>
                <w:kern w:val="0"/>
                <w:sz w:val="21"/>
                <w:szCs w:val="21"/>
              </w:rPr>
              <w:t xml:space="preserve">负责人：    年  月  </w:t>
            </w:r>
            <w:r>
              <w:rPr>
                <w:rFonts w:hint="eastAsia" w:ascii="宋体" w:hAnsi="宋体"/>
                <w:spacing w:val="-1"/>
                <w:w w:val="93"/>
                <w:kern w:val="0"/>
                <w:sz w:val="21"/>
                <w:szCs w:val="21"/>
              </w:rPr>
              <w:t>日</w:t>
            </w:r>
          </w:p>
          <w:p>
            <w:pPr>
              <w:adjustRightInd w:val="0"/>
              <w:snapToGrid w:val="0"/>
              <w:ind w:firstLine="3088" w:firstLineChars="1600"/>
              <w:rPr>
                <w:rFonts w:ascii="宋体" w:hAnsi="宋体"/>
                <w:spacing w:val="-1"/>
                <w:w w:val="93"/>
                <w:kern w:val="0"/>
                <w:sz w:val="21"/>
                <w:szCs w:val="21"/>
              </w:rPr>
            </w:pPr>
          </w:p>
          <w:p>
            <w:pPr>
              <w:adjustRightInd w:val="0"/>
              <w:snapToGrid w:val="0"/>
              <w:ind w:firstLine="3360" w:firstLineChars="1600"/>
              <w:rPr>
                <w:rFonts w:ascii="宋体" w:hAnsi="宋体"/>
                <w:sz w:val="21"/>
                <w:szCs w:val="21"/>
              </w:rPr>
            </w:pPr>
          </w:p>
        </w:tc>
      </w:tr>
    </w:tbl>
    <w:p>
      <w:pPr>
        <w:widowControl/>
        <w:jc w:val="left"/>
        <w:rPr>
          <w:b/>
          <w:sz w:val="52"/>
          <w:szCs w:val="72"/>
        </w:rPr>
      </w:pPr>
      <w:r>
        <w:rPr>
          <w:b/>
          <w:sz w:val="52"/>
          <w:szCs w:val="72"/>
        </w:rPr>
        <w:br w:type="page"/>
      </w:r>
    </w:p>
    <w:p>
      <w:pPr>
        <w:jc w:val="center"/>
        <w:rPr>
          <w:b/>
          <w:sz w:val="52"/>
          <w:szCs w:val="72"/>
        </w:rPr>
      </w:pPr>
      <w:r>
        <w:drawing>
          <wp:anchor distT="0" distB="0" distL="114300" distR="114300" simplePos="0" relativeHeight="251670528" behindDoc="0" locked="0" layoutInCell="1" allowOverlap="1">
            <wp:simplePos x="0" y="0"/>
            <wp:positionH relativeFrom="column">
              <wp:posOffset>57150</wp:posOffset>
            </wp:positionH>
            <wp:positionV relativeFrom="paragraph">
              <wp:posOffset>176530</wp:posOffset>
            </wp:positionV>
            <wp:extent cx="2457450" cy="71437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57450" cy="714375"/>
                    </a:xfrm>
                    <a:prstGeom prst="rect">
                      <a:avLst/>
                    </a:prstGeom>
                    <a:noFill/>
                    <a:ln>
                      <a:noFill/>
                    </a:ln>
                  </pic:spPr>
                </pic:pic>
              </a:graphicData>
            </a:graphic>
          </wp:anchor>
        </w:drawing>
      </w:r>
    </w:p>
    <w:p>
      <w:pPr>
        <w:jc w:val="center"/>
        <w:rPr>
          <w:b/>
          <w:sz w:val="52"/>
          <w:szCs w:val="72"/>
        </w:rPr>
      </w:pPr>
    </w:p>
    <w:p>
      <w:pPr>
        <w:ind w:firstLine="140" w:firstLineChars="50"/>
        <w:rPr>
          <w:b/>
          <w:sz w:val="52"/>
          <w:szCs w:val="72"/>
        </w:rPr>
      </w:pPr>
      <w:r>
        <mc:AlternateContent>
          <mc:Choice Requires="wps">
            <w:drawing>
              <wp:anchor distT="0" distB="0" distL="114300" distR="114300" simplePos="0" relativeHeight="251669504" behindDoc="0" locked="0" layoutInCell="1" allowOverlap="1">
                <wp:simplePos x="0" y="0"/>
                <wp:positionH relativeFrom="column">
                  <wp:posOffset>45720</wp:posOffset>
                </wp:positionH>
                <wp:positionV relativeFrom="paragraph">
                  <wp:posOffset>32385</wp:posOffset>
                </wp:positionV>
                <wp:extent cx="2428875" cy="0"/>
                <wp:effectExtent l="0" t="0" r="9525"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6pt;margin-top:2.55pt;height:0pt;width:191.25pt;z-index:251669504;mso-width-relative:page;mso-height-relative:page;" filled="f" stroked="t" coordsize="21600,21600" o:gfxdata="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rsRYnUAAAABQEAAA8AAAAAAAAAAQAg&#10;AAAAIgAAAGRycy9kb3ducmV2LnhtbFBLAQIUABQAAAAIAIdO4kDQHO942QEAAHADAAAOAAAAAAAA&#10;AAEAIAAAACMBAABkcnMvZTJvRG9jLnhtbFBLBQYAAAAABgAGAFkBAABuBQAAAAA=&#10;">
                <v:fill on="f" focussize="0,0"/>
                <v:stroke color="#000000" joinstyle="round"/>
                <v:imagedata o:title=""/>
                <o:lock v:ext="edit" aspectratio="f"/>
              </v:shape>
            </w:pict>
          </mc:Fallback>
        </mc:AlternateContent>
      </w:r>
      <w:r>
        <w:rPr>
          <w:rFonts w:ascii="方正小标宋简体" w:hAnsi="Arial Rounded MT Bold" w:eastAsia="方正小标宋简体"/>
          <w:w w:val="98"/>
          <w:kern w:val="0"/>
          <w:sz w:val="32"/>
          <w:szCs w:val="32"/>
        </w:rPr>
        <w:t>QUZHOU</w:t>
      </w:r>
      <w:r>
        <w:rPr>
          <w:rFonts w:ascii="方正小标宋简体" w:hAnsi="Arial Rounded MT Bold" w:eastAsia="方正小标宋简体"/>
          <w:w w:val="98"/>
          <w:kern w:val="0"/>
          <w:szCs w:val="21"/>
        </w:rPr>
        <w:t xml:space="preserve">  </w:t>
      </w:r>
      <w:r>
        <w:rPr>
          <w:rFonts w:ascii="方正小标宋简体" w:hAnsi="Arial Rounded MT Bold" w:eastAsia="方正小标宋简体"/>
          <w:w w:val="98"/>
          <w:kern w:val="0"/>
          <w:sz w:val="32"/>
          <w:szCs w:val="32"/>
        </w:rPr>
        <w:t>UNIVERSIT</w:t>
      </w:r>
      <w:r>
        <w:rPr>
          <w:rFonts w:ascii="方正小标宋简体" w:hAnsi="Arial Rounded MT Bold" w:eastAsia="方正小标宋简体"/>
          <w:spacing w:val="21"/>
          <w:w w:val="98"/>
          <w:kern w:val="0"/>
          <w:sz w:val="32"/>
          <w:szCs w:val="32"/>
        </w:rPr>
        <w:t>Y</w:t>
      </w:r>
    </w:p>
    <w:p/>
    <w:p>
      <w:pPr>
        <w:jc w:val="center"/>
        <w:rPr>
          <w:b/>
          <w:bCs/>
          <w:sz w:val="72"/>
        </w:rPr>
      </w:pPr>
    </w:p>
    <w:p>
      <w:pPr>
        <w:jc w:val="center"/>
        <w:rPr>
          <w:b/>
          <w:sz w:val="52"/>
          <w:szCs w:val="72"/>
        </w:rPr>
      </w:pPr>
    </w:p>
    <w:p>
      <w:pPr>
        <w:jc w:val="center"/>
        <w:rPr>
          <w:b/>
          <w:kern w:val="0"/>
          <w:sz w:val="52"/>
          <w:szCs w:val="72"/>
        </w:rPr>
      </w:pPr>
    </w:p>
    <w:p>
      <w:pPr>
        <w:jc w:val="center"/>
        <w:rPr>
          <w:rFonts w:ascii="方正小标宋简体" w:hAnsi="方正小标宋简体" w:eastAsia="方正小标宋简体" w:cs="方正小标宋简体"/>
          <w:b/>
          <w:sz w:val="52"/>
          <w:szCs w:val="72"/>
        </w:rPr>
      </w:pPr>
      <w:r>
        <w:rPr>
          <w:rFonts w:hint="eastAsia" w:ascii="方正小标宋简体" w:hAnsi="方正小标宋简体" w:eastAsia="方正小标宋简体" w:cs="方正小标宋简体"/>
          <w:b/>
          <w:spacing w:val="2"/>
          <w:kern w:val="0"/>
          <w:sz w:val="52"/>
          <w:szCs w:val="72"/>
        </w:rPr>
        <w:t>衢州学院实验</w:t>
      </w:r>
      <w:r>
        <w:rPr>
          <w:rFonts w:hint="eastAsia" w:ascii="方正小标宋简体" w:hAnsi="方正小标宋简体" w:eastAsia="方正小标宋简体" w:cs="方正小标宋简体"/>
          <w:b/>
          <w:spacing w:val="-5"/>
          <w:kern w:val="0"/>
          <w:sz w:val="52"/>
          <w:szCs w:val="72"/>
        </w:rPr>
        <w:t>室</w:t>
      </w:r>
    </w:p>
    <w:p>
      <w:pPr>
        <w:jc w:val="center"/>
        <w:rPr>
          <w:rFonts w:ascii="方正小标宋简体" w:hAnsi="方正小标宋简体" w:eastAsia="方正小标宋简体" w:cs="方正小标宋简体"/>
          <w:b/>
          <w:sz w:val="52"/>
          <w:szCs w:val="72"/>
        </w:rPr>
      </w:pPr>
      <w:r>
        <w:rPr>
          <w:rFonts w:hint="eastAsia" w:ascii="方正小标宋简体" w:hAnsi="方正小标宋简体" w:eastAsia="方正小标宋简体" w:cs="方正小标宋简体"/>
          <w:b/>
          <w:spacing w:val="2"/>
          <w:kern w:val="0"/>
          <w:sz w:val="52"/>
          <w:szCs w:val="72"/>
        </w:rPr>
        <w:t>建设项目验收报告</w:t>
      </w:r>
      <w:r>
        <w:rPr>
          <w:rFonts w:hint="eastAsia" w:ascii="方正小标宋简体" w:hAnsi="方正小标宋简体" w:eastAsia="方正小标宋简体" w:cs="方正小标宋简体"/>
          <w:b/>
          <w:spacing w:val="-7"/>
          <w:kern w:val="0"/>
          <w:sz w:val="52"/>
          <w:szCs w:val="72"/>
        </w:rPr>
        <w:t>书</w:t>
      </w:r>
    </w:p>
    <w:p/>
    <w:p/>
    <w:p>
      <w:pPr>
        <w:spacing w:line="360" w:lineRule="auto"/>
        <w:ind w:firstLine="1280" w:firstLineChars="400"/>
        <w:rPr>
          <w:rFonts w:ascii="宋体" w:hAnsi="宋体"/>
          <w:sz w:val="32"/>
          <w:szCs w:val="32"/>
          <w:u w:val="single"/>
        </w:rPr>
      </w:pPr>
      <w:r>
        <w:rPr>
          <w:rFonts w:hint="eastAsia" w:ascii="宋体" w:hAnsi="宋体"/>
          <w:kern w:val="0"/>
          <w:sz w:val="32"/>
          <w:szCs w:val="32"/>
        </w:rPr>
        <w:t>项 目 名称</w:t>
      </w:r>
      <w:r>
        <w:rPr>
          <w:rFonts w:hint="eastAsia" w:ascii="宋体" w:hAnsi="宋体"/>
          <w:kern w:val="0"/>
          <w:sz w:val="32"/>
          <w:szCs w:val="32"/>
          <w:u w:val="single"/>
        </w:rPr>
        <w:t xml:space="preserve">                            </w:t>
      </w:r>
    </w:p>
    <w:p>
      <w:pPr>
        <w:spacing w:line="360" w:lineRule="auto"/>
        <w:ind w:firstLine="1280" w:firstLineChars="400"/>
        <w:rPr>
          <w:rFonts w:ascii="宋体" w:hAnsi="宋体"/>
          <w:sz w:val="32"/>
          <w:szCs w:val="32"/>
          <w:u w:val="single"/>
        </w:rPr>
      </w:pPr>
      <w:r>
        <w:rPr>
          <w:rFonts w:hint="eastAsia" w:ascii="宋体" w:hAnsi="宋体"/>
          <w:kern w:val="0"/>
          <w:sz w:val="32"/>
          <w:szCs w:val="32"/>
        </w:rPr>
        <w:t>项目负责人</w:t>
      </w:r>
      <w:r>
        <w:rPr>
          <w:rFonts w:hint="eastAsia" w:ascii="宋体" w:hAnsi="宋体"/>
          <w:kern w:val="0"/>
          <w:sz w:val="32"/>
          <w:szCs w:val="32"/>
          <w:u w:val="single"/>
        </w:rPr>
        <w:t xml:space="preserve">                            </w:t>
      </w:r>
    </w:p>
    <w:p>
      <w:pPr>
        <w:spacing w:line="360" w:lineRule="auto"/>
        <w:ind w:firstLine="1280" w:firstLineChars="400"/>
        <w:rPr>
          <w:rFonts w:ascii="宋体" w:hAnsi="宋体"/>
          <w:sz w:val="32"/>
          <w:szCs w:val="32"/>
          <w:u w:val="single"/>
        </w:rPr>
      </w:pPr>
      <w:r>
        <w:rPr>
          <w:rFonts w:hint="eastAsia" w:ascii="宋体" w:hAnsi="宋体"/>
          <w:kern w:val="0"/>
          <w:sz w:val="32"/>
          <w:szCs w:val="32"/>
        </w:rPr>
        <w:t>部 门 名称</w:t>
      </w:r>
      <w:r>
        <w:rPr>
          <w:rFonts w:hint="eastAsia" w:ascii="宋体" w:hAnsi="宋体"/>
          <w:kern w:val="0"/>
          <w:sz w:val="32"/>
          <w:szCs w:val="32"/>
          <w:u w:val="single"/>
        </w:rPr>
        <w:t xml:space="preserve">                            </w:t>
      </w:r>
    </w:p>
    <w:p>
      <w:pPr>
        <w:spacing w:line="360" w:lineRule="auto"/>
        <w:ind w:firstLine="1280" w:firstLineChars="400"/>
        <w:rPr>
          <w:rFonts w:ascii="宋体" w:hAnsi="宋体"/>
          <w:sz w:val="32"/>
          <w:szCs w:val="32"/>
          <w:u w:val="single"/>
        </w:rPr>
      </w:pPr>
      <w:r>
        <w:rPr>
          <w:rFonts w:hint="eastAsia" w:ascii="宋体" w:hAnsi="宋体"/>
          <w:kern w:val="0"/>
          <w:sz w:val="32"/>
          <w:szCs w:val="32"/>
        </w:rPr>
        <w:t>验 收 时间</w:t>
      </w:r>
      <w:r>
        <w:rPr>
          <w:rFonts w:hint="eastAsia" w:ascii="宋体" w:hAnsi="宋体"/>
          <w:kern w:val="0"/>
          <w:sz w:val="32"/>
          <w:szCs w:val="32"/>
          <w:u w:val="single"/>
        </w:rPr>
        <w:t xml:space="preserve">                            </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jc w:val="center"/>
        <w:rPr>
          <w:rFonts w:ascii="宋体" w:hAnsi="宋体"/>
          <w:sz w:val="32"/>
          <w:szCs w:val="32"/>
        </w:rPr>
      </w:pPr>
      <w:r>
        <w:rPr>
          <w:rFonts w:hint="eastAsia" w:ascii="宋体" w:hAnsi="宋体"/>
          <w:w w:val="93"/>
          <w:kern w:val="0"/>
          <w:sz w:val="32"/>
          <w:szCs w:val="32"/>
        </w:rPr>
        <w:t>实验室与设备管理处</w:t>
      </w:r>
      <w:r>
        <w:rPr>
          <w:rFonts w:hint="eastAsia" w:ascii="宋体" w:hAnsi="宋体"/>
          <w:spacing w:val="12"/>
          <w:w w:val="93"/>
          <w:kern w:val="0"/>
          <w:sz w:val="32"/>
          <w:szCs w:val="32"/>
        </w:rPr>
        <w:t>制</w:t>
      </w:r>
    </w:p>
    <w:p>
      <w:pPr>
        <w:spacing w:line="360" w:lineRule="auto"/>
        <w:jc w:val="center"/>
        <w:rPr>
          <w:rFonts w:ascii="仿宋_GB2312" w:eastAsia="仿宋_GB2312"/>
          <w:sz w:val="30"/>
        </w:rPr>
      </w:pP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005"/>
        <w:gridCol w:w="255"/>
        <w:gridCol w:w="840"/>
        <w:gridCol w:w="836"/>
        <w:gridCol w:w="122"/>
        <w:gridCol w:w="992"/>
        <w:gridCol w:w="1276"/>
        <w:gridCol w:w="42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r>
              <w:rPr>
                <w:rFonts w:hint="eastAsia" w:ascii="宋体"/>
                <w:spacing w:val="20"/>
                <w:kern w:val="0"/>
                <w:sz w:val="21"/>
                <w:szCs w:val="21"/>
              </w:rPr>
              <w:t>项目名</w:t>
            </w:r>
            <w:r>
              <w:rPr>
                <w:rFonts w:hint="eastAsia" w:ascii="宋体"/>
                <w:kern w:val="0"/>
                <w:sz w:val="21"/>
                <w:szCs w:val="21"/>
              </w:rPr>
              <w:t>称</w:t>
            </w:r>
          </w:p>
        </w:tc>
        <w:tc>
          <w:tcPr>
            <w:tcW w:w="4050" w:type="dxa"/>
            <w:gridSpan w:val="6"/>
            <w:tcBorders>
              <w:bottom w:val="nil"/>
            </w:tcBorders>
            <w:vAlign w:val="center"/>
          </w:tcPr>
          <w:p>
            <w:pPr>
              <w:jc w:val="center"/>
              <w:rPr>
                <w:rFonts w:ascii="宋体"/>
                <w:sz w:val="21"/>
                <w:szCs w:val="21"/>
              </w:rPr>
            </w:pPr>
          </w:p>
        </w:tc>
        <w:tc>
          <w:tcPr>
            <w:tcW w:w="3602" w:type="dxa"/>
            <w:gridSpan w:val="3"/>
            <w:tcBorders>
              <w:bottom w:val="nil"/>
            </w:tcBorders>
            <w:vAlign w:val="center"/>
          </w:tcPr>
          <w:p>
            <w:pPr>
              <w:jc w:val="center"/>
              <w:rPr>
                <w:rFonts w:ascii="宋体"/>
                <w:sz w:val="21"/>
                <w:szCs w:val="21"/>
              </w:rPr>
            </w:pPr>
            <w:r>
              <w:rPr>
                <w:rFonts w:hint="eastAsia" w:ascii="宋体"/>
                <w:spacing w:val="14"/>
                <w:kern w:val="0"/>
                <w:sz w:val="21"/>
                <w:szCs w:val="21"/>
              </w:rPr>
              <w:t>□</w:t>
            </w:r>
            <w:r>
              <w:rPr>
                <w:rFonts w:hint="eastAsia" w:ascii="宋体"/>
                <w:bCs/>
                <w:spacing w:val="14"/>
                <w:kern w:val="0"/>
                <w:sz w:val="21"/>
                <w:szCs w:val="21"/>
              </w:rPr>
              <w:t>新建</w:t>
            </w:r>
            <w:r>
              <w:rPr>
                <w:rFonts w:ascii="宋体"/>
                <w:bCs/>
                <w:spacing w:val="14"/>
                <w:kern w:val="0"/>
                <w:sz w:val="21"/>
                <w:szCs w:val="21"/>
              </w:rPr>
              <w:t xml:space="preserve">  </w:t>
            </w:r>
            <w:r>
              <w:rPr>
                <w:rFonts w:hint="eastAsia" w:ascii="宋体"/>
                <w:spacing w:val="14"/>
                <w:kern w:val="0"/>
                <w:sz w:val="21"/>
                <w:szCs w:val="21"/>
              </w:rPr>
              <w:t>□</w:t>
            </w:r>
            <w:r>
              <w:rPr>
                <w:rFonts w:hint="eastAsia" w:ascii="宋体"/>
                <w:bCs/>
                <w:spacing w:val="14"/>
                <w:kern w:val="0"/>
                <w:sz w:val="21"/>
                <w:szCs w:val="21"/>
              </w:rPr>
              <w:t>改造</w:t>
            </w:r>
            <w:r>
              <w:rPr>
                <w:rFonts w:ascii="宋体"/>
                <w:bCs/>
                <w:spacing w:val="14"/>
                <w:kern w:val="0"/>
                <w:sz w:val="21"/>
                <w:szCs w:val="21"/>
              </w:rPr>
              <w:t xml:space="preserve">  </w:t>
            </w:r>
            <w:r>
              <w:rPr>
                <w:rFonts w:hint="eastAsia" w:ascii="宋体"/>
                <w:spacing w:val="14"/>
                <w:kern w:val="0"/>
                <w:sz w:val="21"/>
                <w:szCs w:val="21"/>
              </w:rPr>
              <w:t>□</w:t>
            </w:r>
            <w:r>
              <w:rPr>
                <w:rFonts w:hint="eastAsia" w:ascii="宋体"/>
                <w:bCs/>
                <w:spacing w:val="14"/>
                <w:kern w:val="0"/>
                <w:sz w:val="21"/>
                <w:szCs w:val="21"/>
              </w:rPr>
              <w:t>更</w:t>
            </w:r>
            <w:r>
              <w:rPr>
                <w:rFonts w:hint="eastAsia" w:ascii="宋体"/>
                <w:bCs/>
                <w:spacing w:val="-2"/>
                <w:kern w:val="0"/>
                <w:sz w:val="21"/>
                <w:szCs w:val="21"/>
              </w:rPr>
              <w:t>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r>
              <w:rPr>
                <w:rFonts w:hint="eastAsia" w:ascii="宋体"/>
                <w:spacing w:val="20"/>
                <w:kern w:val="0"/>
                <w:sz w:val="21"/>
                <w:szCs w:val="21"/>
              </w:rPr>
              <w:t>立项时</w:t>
            </w:r>
            <w:r>
              <w:rPr>
                <w:rFonts w:hint="eastAsia" w:ascii="宋体"/>
                <w:kern w:val="0"/>
                <w:sz w:val="21"/>
                <w:szCs w:val="21"/>
              </w:rPr>
              <w:t>间</w:t>
            </w:r>
          </w:p>
        </w:tc>
        <w:tc>
          <w:tcPr>
            <w:tcW w:w="2100" w:type="dxa"/>
            <w:gridSpan w:val="3"/>
            <w:tcBorders>
              <w:bottom w:val="nil"/>
            </w:tcBorders>
            <w:vAlign w:val="center"/>
          </w:tcPr>
          <w:p>
            <w:pPr>
              <w:jc w:val="center"/>
              <w:rPr>
                <w:rFonts w:ascii="宋体"/>
                <w:sz w:val="21"/>
                <w:szCs w:val="21"/>
              </w:rPr>
            </w:pPr>
          </w:p>
        </w:tc>
        <w:tc>
          <w:tcPr>
            <w:tcW w:w="1950" w:type="dxa"/>
            <w:gridSpan w:val="3"/>
            <w:tcBorders>
              <w:bottom w:val="nil"/>
            </w:tcBorders>
            <w:vAlign w:val="center"/>
          </w:tcPr>
          <w:p>
            <w:pPr>
              <w:jc w:val="center"/>
              <w:rPr>
                <w:rFonts w:ascii="宋体"/>
                <w:sz w:val="21"/>
                <w:szCs w:val="21"/>
              </w:rPr>
            </w:pPr>
            <w:r>
              <w:rPr>
                <w:rFonts w:hint="eastAsia" w:ascii="宋体"/>
                <w:spacing w:val="17"/>
                <w:kern w:val="0"/>
                <w:sz w:val="21"/>
                <w:szCs w:val="21"/>
              </w:rPr>
              <w:t>项目经费（万元</w:t>
            </w:r>
            <w:r>
              <w:rPr>
                <w:rFonts w:hint="eastAsia" w:ascii="宋体"/>
                <w:spacing w:val="1"/>
                <w:kern w:val="0"/>
                <w:sz w:val="21"/>
                <w:szCs w:val="21"/>
              </w:rPr>
              <w:t>）</w:t>
            </w:r>
          </w:p>
        </w:tc>
        <w:tc>
          <w:tcPr>
            <w:tcW w:w="3602" w:type="dxa"/>
            <w:gridSpan w:val="3"/>
            <w:tcBorders>
              <w:bottom w:val="nil"/>
            </w:tcBorders>
          </w:tcPr>
          <w:p>
            <w:pPr>
              <w:ind w:firstLine="315" w:firstLineChars="150"/>
              <w:rPr>
                <w:rFonts w:asci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r>
              <w:rPr>
                <w:rFonts w:hint="eastAsia" w:ascii="宋体"/>
                <w:spacing w:val="19"/>
                <w:kern w:val="0"/>
                <w:sz w:val="21"/>
                <w:szCs w:val="21"/>
              </w:rPr>
              <w:t>项目负责</w:t>
            </w:r>
            <w:r>
              <w:rPr>
                <w:rFonts w:hint="eastAsia" w:ascii="宋体"/>
                <w:kern w:val="0"/>
                <w:sz w:val="21"/>
                <w:szCs w:val="21"/>
              </w:rPr>
              <w:t>人</w:t>
            </w:r>
          </w:p>
        </w:tc>
        <w:tc>
          <w:tcPr>
            <w:tcW w:w="1260" w:type="dxa"/>
            <w:gridSpan w:val="2"/>
            <w:vAlign w:val="center"/>
          </w:tcPr>
          <w:p>
            <w:pPr>
              <w:jc w:val="center"/>
              <w:rPr>
                <w:rFonts w:ascii="宋体"/>
                <w:sz w:val="21"/>
                <w:szCs w:val="21"/>
              </w:rPr>
            </w:pPr>
          </w:p>
        </w:tc>
        <w:tc>
          <w:tcPr>
            <w:tcW w:w="1676" w:type="dxa"/>
            <w:gridSpan w:val="2"/>
            <w:vAlign w:val="center"/>
          </w:tcPr>
          <w:p>
            <w:pPr>
              <w:jc w:val="center"/>
              <w:rPr>
                <w:rFonts w:ascii="宋体"/>
                <w:sz w:val="21"/>
                <w:szCs w:val="21"/>
              </w:rPr>
            </w:pPr>
            <w:r>
              <w:rPr>
                <w:rFonts w:hint="eastAsia" w:ascii="宋体"/>
                <w:spacing w:val="19"/>
                <w:kern w:val="0"/>
                <w:sz w:val="21"/>
                <w:szCs w:val="21"/>
              </w:rPr>
              <w:t>职称</w:t>
            </w:r>
            <w:r>
              <w:rPr>
                <w:rFonts w:ascii="宋体"/>
                <w:spacing w:val="19"/>
                <w:kern w:val="0"/>
                <w:sz w:val="21"/>
                <w:szCs w:val="21"/>
              </w:rPr>
              <w:t>/</w:t>
            </w:r>
            <w:r>
              <w:rPr>
                <w:rFonts w:hint="eastAsia" w:ascii="宋体"/>
                <w:spacing w:val="19"/>
                <w:kern w:val="0"/>
                <w:sz w:val="21"/>
                <w:szCs w:val="21"/>
              </w:rPr>
              <w:t>职</w:t>
            </w:r>
            <w:r>
              <w:rPr>
                <w:rFonts w:hint="eastAsia" w:ascii="宋体"/>
                <w:spacing w:val="1"/>
                <w:kern w:val="0"/>
                <w:sz w:val="21"/>
                <w:szCs w:val="21"/>
              </w:rPr>
              <w:t>务</w:t>
            </w:r>
          </w:p>
        </w:tc>
        <w:tc>
          <w:tcPr>
            <w:tcW w:w="1114" w:type="dxa"/>
            <w:gridSpan w:val="2"/>
            <w:vAlign w:val="center"/>
          </w:tcPr>
          <w:p>
            <w:pPr>
              <w:jc w:val="center"/>
              <w:rPr>
                <w:rFonts w:ascii="宋体"/>
                <w:sz w:val="21"/>
                <w:szCs w:val="21"/>
              </w:rPr>
            </w:pPr>
            <w:r>
              <w:rPr>
                <w:rFonts w:ascii="宋体"/>
                <w:spacing w:val="8"/>
                <w:kern w:val="0"/>
                <w:sz w:val="21"/>
                <w:szCs w:val="21"/>
              </w:rPr>
              <w:t xml:space="preserve">   </w:t>
            </w:r>
            <w:r>
              <w:rPr>
                <w:rFonts w:ascii="宋体"/>
                <w:spacing w:val="5"/>
                <w:kern w:val="0"/>
                <w:sz w:val="21"/>
                <w:szCs w:val="21"/>
              </w:rPr>
              <w:t xml:space="preserve"> </w:t>
            </w:r>
          </w:p>
        </w:tc>
        <w:tc>
          <w:tcPr>
            <w:tcW w:w="1276" w:type="dxa"/>
            <w:vAlign w:val="center"/>
          </w:tcPr>
          <w:p>
            <w:pPr>
              <w:jc w:val="center"/>
              <w:rPr>
                <w:rFonts w:ascii="宋体"/>
                <w:sz w:val="21"/>
                <w:szCs w:val="21"/>
              </w:rPr>
            </w:pPr>
            <w:r>
              <w:rPr>
                <w:rFonts w:hint="eastAsia" w:ascii="宋体"/>
                <w:spacing w:val="20"/>
                <w:kern w:val="0"/>
                <w:sz w:val="21"/>
                <w:szCs w:val="21"/>
              </w:rPr>
              <w:t>专业方</w:t>
            </w:r>
            <w:r>
              <w:rPr>
                <w:rFonts w:hint="eastAsia" w:ascii="宋体"/>
                <w:kern w:val="0"/>
                <w:sz w:val="21"/>
                <w:szCs w:val="21"/>
              </w:rPr>
              <w:t>向</w:t>
            </w:r>
          </w:p>
        </w:tc>
        <w:tc>
          <w:tcPr>
            <w:tcW w:w="2326" w:type="dxa"/>
            <w:gridSpan w:val="2"/>
            <w:vAlign w:val="center"/>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r>
              <w:rPr>
                <w:rFonts w:hint="eastAsia" w:ascii="宋体"/>
                <w:spacing w:val="20"/>
                <w:kern w:val="0"/>
                <w:sz w:val="21"/>
                <w:szCs w:val="21"/>
              </w:rPr>
              <w:t>成员姓</w:t>
            </w:r>
            <w:r>
              <w:rPr>
                <w:rFonts w:hint="eastAsia" w:ascii="宋体"/>
                <w:kern w:val="0"/>
                <w:sz w:val="21"/>
                <w:szCs w:val="21"/>
              </w:rPr>
              <w:t>名</w:t>
            </w:r>
          </w:p>
        </w:tc>
        <w:tc>
          <w:tcPr>
            <w:tcW w:w="1005" w:type="dxa"/>
            <w:vAlign w:val="center"/>
          </w:tcPr>
          <w:p>
            <w:pPr>
              <w:jc w:val="center"/>
              <w:rPr>
                <w:rFonts w:ascii="宋体"/>
                <w:sz w:val="21"/>
                <w:szCs w:val="21"/>
              </w:rPr>
            </w:pPr>
            <w:r>
              <w:rPr>
                <w:rFonts w:hint="eastAsia" w:ascii="宋体"/>
                <w:spacing w:val="60"/>
                <w:kern w:val="0"/>
                <w:sz w:val="21"/>
                <w:szCs w:val="21"/>
              </w:rPr>
              <w:t>职</w:t>
            </w:r>
            <w:r>
              <w:rPr>
                <w:rFonts w:hint="eastAsia" w:ascii="宋体"/>
                <w:spacing w:val="-30"/>
                <w:kern w:val="0"/>
                <w:sz w:val="21"/>
                <w:szCs w:val="21"/>
              </w:rPr>
              <w:t>称</w:t>
            </w:r>
          </w:p>
        </w:tc>
        <w:tc>
          <w:tcPr>
            <w:tcW w:w="2053" w:type="dxa"/>
            <w:gridSpan w:val="4"/>
            <w:vAlign w:val="center"/>
          </w:tcPr>
          <w:p>
            <w:pPr>
              <w:jc w:val="center"/>
              <w:rPr>
                <w:rFonts w:ascii="宋体"/>
                <w:sz w:val="21"/>
                <w:szCs w:val="21"/>
              </w:rPr>
            </w:pPr>
            <w:r>
              <w:rPr>
                <w:rFonts w:hint="eastAsia" w:ascii="宋体"/>
                <w:spacing w:val="20"/>
                <w:kern w:val="0"/>
                <w:sz w:val="21"/>
                <w:szCs w:val="21"/>
              </w:rPr>
              <w:t>专业方</w:t>
            </w:r>
            <w:r>
              <w:rPr>
                <w:rFonts w:hint="eastAsia" w:ascii="宋体"/>
                <w:kern w:val="0"/>
                <w:sz w:val="21"/>
                <w:szCs w:val="21"/>
              </w:rPr>
              <w:t>向</w:t>
            </w:r>
          </w:p>
        </w:tc>
        <w:tc>
          <w:tcPr>
            <w:tcW w:w="2693" w:type="dxa"/>
            <w:gridSpan w:val="3"/>
            <w:vAlign w:val="center"/>
          </w:tcPr>
          <w:p>
            <w:pPr>
              <w:jc w:val="center"/>
              <w:rPr>
                <w:rFonts w:ascii="宋体"/>
                <w:sz w:val="21"/>
                <w:szCs w:val="21"/>
              </w:rPr>
            </w:pPr>
            <w:r>
              <w:rPr>
                <w:rFonts w:hint="eastAsia" w:ascii="宋体"/>
                <w:spacing w:val="16"/>
                <w:kern w:val="0"/>
                <w:sz w:val="21"/>
                <w:szCs w:val="21"/>
              </w:rPr>
              <w:t>在项目中承担建设任</w:t>
            </w:r>
            <w:r>
              <w:rPr>
                <w:rFonts w:hint="eastAsia" w:ascii="宋体"/>
                <w:spacing w:val="6"/>
                <w:kern w:val="0"/>
                <w:sz w:val="21"/>
                <w:szCs w:val="21"/>
              </w:rPr>
              <w:t>务</w:t>
            </w:r>
          </w:p>
        </w:tc>
        <w:tc>
          <w:tcPr>
            <w:tcW w:w="1901" w:type="dxa"/>
            <w:vAlign w:val="center"/>
          </w:tcPr>
          <w:p>
            <w:pPr>
              <w:rPr>
                <w:rFonts w:ascii="宋体"/>
                <w:sz w:val="21"/>
                <w:szCs w:val="21"/>
              </w:rPr>
            </w:pPr>
            <w:r>
              <w:rPr>
                <w:rFonts w:hint="eastAsia" w:ascii="宋体"/>
                <w:spacing w:val="17"/>
                <w:kern w:val="0"/>
                <w:sz w:val="21"/>
                <w:szCs w:val="21"/>
              </w:rPr>
              <w:t>工作量分配（</w:t>
            </w:r>
            <w:r>
              <w:rPr>
                <w:rFonts w:ascii="宋体"/>
                <w:spacing w:val="17"/>
                <w:kern w:val="0"/>
                <w:sz w:val="21"/>
                <w:szCs w:val="21"/>
              </w:rPr>
              <w:t>%</w:t>
            </w:r>
            <w:r>
              <w:rPr>
                <w:rFonts w:hint="eastAsia" w:ascii="宋体"/>
                <w:spacing w:val="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p>
        </w:tc>
        <w:tc>
          <w:tcPr>
            <w:tcW w:w="1005" w:type="dxa"/>
            <w:vAlign w:val="center"/>
          </w:tcPr>
          <w:p>
            <w:pPr>
              <w:jc w:val="center"/>
              <w:rPr>
                <w:rFonts w:ascii="宋体"/>
                <w:sz w:val="21"/>
                <w:szCs w:val="21"/>
              </w:rPr>
            </w:pPr>
          </w:p>
        </w:tc>
        <w:tc>
          <w:tcPr>
            <w:tcW w:w="2053" w:type="dxa"/>
            <w:gridSpan w:val="4"/>
            <w:vAlign w:val="center"/>
          </w:tcPr>
          <w:p>
            <w:pPr>
              <w:jc w:val="center"/>
              <w:rPr>
                <w:rFonts w:ascii="宋体"/>
                <w:sz w:val="21"/>
                <w:szCs w:val="21"/>
              </w:rPr>
            </w:pPr>
          </w:p>
        </w:tc>
        <w:tc>
          <w:tcPr>
            <w:tcW w:w="2693" w:type="dxa"/>
            <w:gridSpan w:val="3"/>
            <w:vAlign w:val="center"/>
          </w:tcPr>
          <w:p>
            <w:pPr>
              <w:jc w:val="center"/>
              <w:rPr>
                <w:rFonts w:ascii="宋体"/>
                <w:sz w:val="21"/>
                <w:szCs w:val="21"/>
              </w:rPr>
            </w:pPr>
          </w:p>
        </w:tc>
        <w:tc>
          <w:tcPr>
            <w:tcW w:w="1901" w:type="dxa"/>
            <w:vAlign w:val="center"/>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p>
        </w:tc>
        <w:tc>
          <w:tcPr>
            <w:tcW w:w="1005" w:type="dxa"/>
            <w:vAlign w:val="center"/>
          </w:tcPr>
          <w:p>
            <w:pPr>
              <w:jc w:val="center"/>
              <w:rPr>
                <w:rFonts w:ascii="宋体"/>
                <w:sz w:val="21"/>
                <w:szCs w:val="21"/>
              </w:rPr>
            </w:pPr>
          </w:p>
        </w:tc>
        <w:tc>
          <w:tcPr>
            <w:tcW w:w="2053" w:type="dxa"/>
            <w:gridSpan w:val="4"/>
            <w:vAlign w:val="center"/>
          </w:tcPr>
          <w:p>
            <w:pPr>
              <w:jc w:val="center"/>
              <w:rPr>
                <w:rFonts w:ascii="宋体"/>
                <w:sz w:val="21"/>
                <w:szCs w:val="21"/>
              </w:rPr>
            </w:pPr>
          </w:p>
        </w:tc>
        <w:tc>
          <w:tcPr>
            <w:tcW w:w="2693" w:type="dxa"/>
            <w:gridSpan w:val="3"/>
            <w:vAlign w:val="center"/>
          </w:tcPr>
          <w:p>
            <w:pPr>
              <w:jc w:val="center"/>
              <w:rPr>
                <w:rFonts w:ascii="宋体"/>
                <w:sz w:val="21"/>
                <w:szCs w:val="21"/>
              </w:rPr>
            </w:pPr>
          </w:p>
        </w:tc>
        <w:tc>
          <w:tcPr>
            <w:tcW w:w="1901" w:type="dxa"/>
            <w:vAlign w:val="center"/>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p>
        </w:tc>
        <w:tc>
          <w:tcPr>
            <w:tcW w:w="1005" w:type="dxa"/>
            <w:vAlign w:val="center"/>
          </w:tcPr>
          <w:p>
            <w:pPr>
              <w:jc w:val="center"/>
              <w:rPr>
                <w:rFonts w:ascii="宋体"/>
                <w:sz w:val="21"/>
                <w:szCs w:val="21"/>
              </w:rPr>
            </w:pPr>
          </w:p>
        </w:tc>
        <w:tc>
          <w:tcPr>
            <w:tcW w:w="2053" w:type="dxa"/>
            <w:gridSpan w:val="4"/>
            <w:vAlign w:val="center"/>
          </w:tcPr>
          <w:p>
            <w:pPr>
              <w:jc w:val="center"/>
              <w:rPr>
                <w:rFonts w:ascii="宋体"/>
                <w:sz w:val="21"/>
                <w:szCs w:val="21"/>
              </w:rPr>
            </w:pPr>
          </w:p>
        </w:tc>
        <w:tc>
          <w:tcPr>
            <w:tcW w:w="2693" w:type="dxa"/>
            <w:gridSpan w:val="3"/>
            <w:vAlign w:val="center"/>
          </w:tcPr>
          <w:p>
            <w:pPr>
              <w:jc w:val="center"/>
              <w:rPr>
                <w:rFonts w:ascii="宋体"/>
                <w:sz w:val="21"/>
                <w:szCs w:val="21"/>
              </w:rPr>
            </w:pPr>
          </w:p>
        </w:tc>
        <w:tc>
          <w:tcPr>
            <w:tcW w:w="1901" w:type="dxa"/>
            <w:vAlign w:val="center"/>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p>
        </w:tc>
        <w:tc>
          <w:tcPr>
            <w:tcW w:w="1005" w:type="dxa"/>
            <w:vAlign w:val="center"/>
          </w:tcPr>
          <w:p>
            <w:pPr>
              <w:jc w:val="center"/>
              <w:rPr>
                <w:rFonts w:ascii="宋体"/>
                <w:sz w:val="21"/>
                <w:szCs w:val="21"/>
              </w:rPr>
            </w:pPr>
          </w:p>
        </w:tc>
        <w:tc>
          <w:tcPr>
            <w:tcW w:w="2053" w:type="dxa"/>
            <w:gridSpan w:val="4"/>
            <w:vAlign w:val="center"/>
          </w:tcPr>
          <w:p>
            <w:pPr>
              <w:jc w:val="center"/>
              <w:rPr>
                <w:rFonts w:ascii="宋体"/>
                <w:sz w:val="21"/>
                <w:szCs w:val="21"/>
              </w:rPr>
            </w:pPr>
          </w:p>
        </w:tc>
        <w:tc>
          <w:tcPr>
            <w:tcW w:w="2693" w:type="dxa"/>
            <w:gridSpan w:val="3"/>
            <w:vAlign w:val="center"/>
          </w:tcPr>
          <w:p>
            <w:pPr>
              <w:jc w:val="center"/>
              <w:rPr>
                <w:rFonts w:ascii="宋体"/>
                <w:sz w:val="21"/>
                <w:szCs w:val="21"/>
              </w:rPr>
            </w:pPr>
          </w:p>
        </w:tc>
        <w:tc>
          <w:tcPr>
            <w:tcW w:w="1901" w:type="dxa"/>
            <w:vAlign w:val="center"/>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00" w:type="dxa"/>
            <w:vAlign w:val="center"/>
          </w:tcPr>
          <w:p>
            <w:pPr>
              <w:jc w:val="center"/>
              <w:rPr>
                <w:rFonts w:ascii="宋体"/>
                <w:sz w:val="21"/>
                <w:szCs w:val="21"/>
              </w:rPr>
            </w:pPr>
          </w:p>
        </w:tc>
        <w:tc>
          <w:tcPr>
            <w:tcW w:w="1005" w:type="dxa"/>
            <w:vAlign w:val="center"/>
          </w:tcPr>
          <w:p>
            <w:pPr>
              <w:jc w:val="center"/>
              <w:rPr>
                <w:rFonts w:ascii="宋体"/>
                <w:sz w:val="21"/>
                <w:szCs w:val="21"/>
              </w:rPr>
            </w:pPr>
          </w:p>
        </w:tc>
        <w:tc>
          <w:tcPr>
            <w:tcW w:w="2053" w:type="dxa"/>
            <w:gridSpan w:val="4"/>
            <w:vAlign w:val="center"/>
          </w:tcPr>
          <w:p>
            <w:pPr>
              <w:jc w:val="center"/>
              <w:rPr>
                <w:rFonts w:ascii="宋体"/>
                <w:sz w:val="21"/>
                <w:szCs w:val="21"/>
              </w:rPr>
            </w:pPr>
          </w:p>
        </w:tc>
        <w:tc>
          <w:tcPr>
            <w:tcW w:w="2693" w:type="dxa"/>
            <w:gridSpan w:val="3"/>
            <w:vAlign w:val="center"/>
          </w:tcPr>
          <w:p>
            <w:pPr>
              <w:jc w:val="center"/>
              <w:rPr>
                <w:rFonts w:ascii="宋体"/>
                <w:sz w:val="21"/>
                <w:szCs w:val="21"/>
              </w:rPr>
            </w:pPr>
          </w:p>
        </w:tc>
        <w:tc>
          <w:tcPr>
            <w:tcW w:w="1901" w:type="dxa"/>
            <w:vAlign w:val="center"/>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2" w:type="dxa"/>
            <w:gridSpan w:val="10"/>
          </w:tcPr>
          <w:p>
            <w:pPr>
              <w:rPr>
                <w:rFonts w:ascii="宋体"/>
                <w:b/>
                <w:bCs/>
                <w:sz w:val="21"/>
                <w:szCs w:val="21"/>
              </w:rPr>
            </w:pPr>
            <w:r>
              <w:rPr>
                <w:rFonts w:ascii="宋体"/>
                <w:b/>
                <w:bCs/>
                <w:spacing w:val="17"/>
                <w:kern w:val="0"/>
                <w:sz w:val="21"/>
                <w:szCs w:val="21"/>
              </w:rPr>
              <w:t>1.</w:t>
            </w:r>
            <w:r>
              <w:rPr>
                <w:rFonts w:hint="eastAsia" w:ascii="宋体"/>
                <w:b/>
                <w:bCs/>
                <w:spacing w:val="17"/>
                <w:kern w:val="0"/>
                <w:sz w:val="21"/>
                <w:szCs w:val="21"/>
              </w:rPr>
              <w:t>项目基本情</w:t>
            </w:r>
            <w:r>
              <w:rPr>
                <w:rFonts w:hint="eastAsia" w:ascii="宋体"/>
                <w:b/>
                <w:bCs/>
                <w:spacing w:val="4"/>
                <w:kern w:val="0"/>
                <w:sz w:val="21"/>
                <w:szCs w:val="21"/>
              </w:rPr>
              <w:t>况</w:t>
            </w:r>
          </w:p>
          <w:p>
            <w:pPr>
              <w:adjustRightInd w:val="0"/>
              <w:snapToGrid w:val="0"/>
              <w:spacing w:line="520" w:lineRule="exact"/>
              <w:rPr>
                <w:rFonts w:ascii="宋体" w:hAnsi="宋体"/>
                <w:sz w:val="21"/>
                <w:szCs w:val="21"/>
              </w:rPr>
            </w:pPr>
            <w:r>
              <w:rPr>
                <w:rFonts w:hint="eastAsia" w:ascii="宋体" w:hAnsi="宋体"/>
                <w:spacing w:val="16"/>
                <w:kern w:val="0"/>
                <w:sz w:val="21"/>
                <w:szCs w:val="21"/>
              </w:rPr>
              <w:t>（</w:t>
            </w:r>
            <w:r>
              <w:rPr>
                <w:rFonts w:ascii="宋体" w:hAnsi="宋体"/>
                <w:spacing w:val="16"/>
                <w:kern w:val="0"/>
                <w:sz w:val="21"/>
                <w:szCs w:val="21"/>
              </w:rPr>
              <w:t>1</w:t>
            </w:r>
            <w:r>
              <w:rPr>
                <w:rFonts w:hint="eastAsia" w:ascii="宋体" w:hAnsi="宋体"/>
                <w:spacing w:val="16"/>
                <w:kern w:val="0"/>
                <w:sz w:val="21"/>
                <w:szCs w:val="21"/>
              </w:rPr>
              <w:t>）项目的概述（涉及范围、主要内容及用途</w:t>
            </w:r>
            <w:r>
              <w:rPr>
                <w:rFonts w:hint="eastAsia" w:ascii="宋体" w:hAnsi="宋体"/>
                <w:spacing w:val="-5"/>
                <w:kern w:val="0"/>
                <w:sz w:val="21"/>
                <w:szCs w:val="21"/>
              </w:rPr>
              <w:t>）</w:t>
            </w:r>
          </w:p>
          <w:p>
            <w:pPr>
              <w:adjustRightInd w:val="0"/>
              <w:snapToGrid w:val="0"/>
              <w:spacing w:line="520" w:lineRule="exact"/>
              <w:rPr>
                <w:rFonts w:ascii="宋体" w:hAnsi="宋体"/>
                <w:sz w:val="21"/>
                <w:szCs w:val="21"/>
              </w:rPr>
            </w:pPr>
          </w:p>
          <w:p>
            <w:pPr>
              <w:adjustRightInd w:val="0"/>
              <w:snapToGrid w:val="0"/>
              <w:spacing w:line="520" w:lineRule="exact"/>
              <w:rPr>
                <w:rFonts w:ascii="宋体" w:hAnsi="宋体"/>
                <w:sz w:val="21"/>
                <w:szCs w:val="21"/>
              </w:rPr>
            </w:pPr>
          </w:p>
          <w:p>
            <w:pPr>
              <w:adjustRightInd w:val="0"/>
              <w:snapToGrid w:val="0"/>
              <w:spacing w:line="520" w:lineRule="exact"/>
              <w:rPr>
                <w:rFonts w:ascii="宋体" w:hAnsi="宋体"/>
                <w:sz w:val="21"/>
                <w:szCs w:val="21"/>
              </w:rPr>
            </w:pPr>
          </w:p>
          <w:p>
            <w:pPr>
              <w:adjustRightInd w:val="0"/>
              <w:snapToGrid w:val="0"/>
              <w:spacing w:line="520" w:lineRule="exact"/>
              <w:rPr>
                <w:rFonts w:ascii="宋体" w:hAnsi="宋体"/>
                <w:sz w:val="21"/>
                <w:szCs w:val="21"/>
              </w:rPr>
            </w:pPr>
          </w:p>
          <w:p>
            <w:pPr>
              <w:adjustRightInd w:val="0"/>
              <w:snapToGrid w:val="0"/>
              <w:spacing w:line="520" w:lineRule="exact"/>
              <w:rPr>
                <w:rFonts w:ascii="宋体" w:hAnsi="宋体"/>
                <w:sz w:val="21"/>
                <w:szCs w:val="21"/>
              </w:rPr>
            </w:pPr>
            <w:r>
              <w:rPr>
                <w:rFonts w:hint="eastAsia" w:ascii="宋体" w:hAnsi="宋体"/>
                <w:spacing w:val="17"/>
                <w:kern w:val="0"/>
                <w:sz w:val="21"/>
                <w:szCs w:val="21"/>
              </w:rPr>
              <w:t>（</w:t>
            </w:r>
            <w:r>
              <w:rPr>
                <w:rFonts w:ascii="宋体" w:hAnsi="宋体"/>
                <w:spacing w:val="17"/>
                <w:kern w:val="0"/>
                <w:sz w:val="21"/>
                <w:szCs w:val="21"/>
              </w:rPr>
              <w:t>2</w:t>
            </w:r>
            <w:r>
              <w:rPr>
                <w:rFonts w:hint="eastAsia" w:ascii="宋体" w:hAnsi="宋体"/>
                <w:spacing w:val="17"/>
                <w:kern w:val="0"/>
                <w:sz w:val="21"/>
                <w:szCs w:val="21"/>
              </w:rPr>
              <w:t>）项目建设目</w:t>
            </w:r>
            <w:r>
              <w:rPr>
                <w:rFonts w:hint="eastAsia" w:ascii="宋体" w:hAnsi="宋体"/>
                <w:kern w:val="0"/>
                <w:sz w:val="21"/>
                <w:szCs w:val="21"/>
              </w:rPr>
              <w:t>标</w:t>
            </w:r>
          </w:p>
          <w:p>
            <w:pPr>
              <w:adjustRightInd w:val="0"/>
              <w:snapToGrid w:val="0"/>
              <w:spacing w:line="520" w:lineRule="exact"/>
              <w:ind w:firstLine="420" w:firstLineChars="200"/>
              <w:rPr>
                <w:rFonts w:ascii="宋体" w:hAnsi="宋体"/>
                <w:sz w:val="21"/>
                <w:szCs w:val="21"/>
              </w:rPr>
            </w:pPr>
          </w:p>
          <w:p>
            <w:pPr>
              <w:adjustRightInd w:val="0"/>
              <w:snapToGrid w:val="0"/>
              <w:spacing w:line="520" w:lineRule="exact"/>
              <w:ind w:firstLine="420" w:firstLineChars="200"/>
              <w:rPr>
                <w:rFonts w:ascii="宋体" w:hAnsi="宋体"/>
                <w:sz w:val="21"/>
                <w:szCs w:val="21"/>
              </w:rPr>
            </w:pPr>
          </w:p>
          <w:p>
            <w:pPr>
              <w:adjustRightInd w:val="0"/>
              <w:snapToGrid w:val="0"/>
              <w:spacing w:line="520" w:lineRule="exact"/>
              <w:ind w:firstLine="420" w:firstLineChars="200"/>
              <w:rPr>
                <w:rFonts w:ascii="宋体" w:hAnsi="宋体"/>
                <w:sz w:val="21"/>
                <w:szCs w:val="21"/>
              </w:rPr>
            </w:pPr>
          </w:p>
          <w:p>
            <w:pPr>
              <w:adjustRightInd w:val="0"/>
              <w:snapToGrid w:val="0"/>
              <w:spacing w:line="520" w:lineRule="exact"/>
              <w:ind w:firstLine="420" w:firstLineChars="200"/>
              <w:rPr>
                <w:rFonts w:ascii="宋体" w:hAnsi="宋体"/>
                <w:sz w:val="21"/>
                <w:szCs w:val="21"/>
              </w:rPr>
            </w:pPr>
          </w:p>
          <w:p>
            <w:pPr>
              <w:adjustRightInd w:val="0"/>
              <w:snapToGrid w:val="0"/>
              <w:spacing w:line="520" w:lineRule="exact"/>
              <w:rPr>
                <w:rFonts w:ascii="宋体" w:hAnsi="宋体"/>
                <w:sz w:val="21"/>
                <w:szCs w:val="21"/>
              </w:rPr>
            </w:pPr>
          </w:p>
          <w:p>
            <w:pPr>
              <w:adjustRightInd w:val="0"/>
              <w:snapToGrid w:val="0"/>
              <w:spacing w:line="520" w:lineRule="exact"/>
              <w:rPr>
                <w:rFonts w:ascii="宋体" w:hAnsi="宋体"/>
                <w:sz w:val="21"/>
                <w:szCs w:val="21"/>
              </w:rPr>
            </w:pPr>
            <w:r>
              <w:rPr>
                <w:rFonts w:hint="eastAsia" w:ascii="宋体" w:hAnsi="宋体"/>
                <w:spacing w:val="16"/>
                <w:kern w:val="0"/>
                <w:sz w:val="21"/>
                <w:szCs w:val="21"/>
              </w:rPr>
              <w:t>（</w:t>
            </w:r>
            <w:r>
              <w:rPr>
                <w:rFonts w:ascii="宋体" w:hAnsi="宋体"/>
                <w:spacing w:val="16"/>
                <w:kern w:val="0"/>
                <w:sz w:val="21"/>
                <w:szCs w:val="21"/>
              </w:rPr>
              <w:t>3</w:t>
            </w:r>
            <w:r>
              <w:rPr>
                <w:rFonts w:hint="eastAsia" w:ascii="宋体" w:hAnsi="宋体"/>
                <w:spacing w:val="16"/>
                <w:kern w:val="0"/>
                <w:sz w:val="21"/>
                <w:szCs w:val="21"/>
              </w:rPr>
              <w:t>）预期主要教学、科研、服务地方效</w:t>
            </w:r>
            <w:r>
              <w:rPr>
                <w:rFonts w:hint="eastAsia" w:ascii="宋体" w:hAnsi="宋体"/>
                <w:spacing w:val="-2"/>
                <w:kern w:val="0"/>
                <w:sz w:val="21"/>
                <w:szCs w:val="21"/>
              </w:rPr>
              <w:t>益</w:t>
            </w:r>
          </w:p>
          <w:p>
            <w:pPr>
              <w:rPr>
                <w:rFonts w:ascii="宋体" w:hAnsi="宋体"/>
                <w:b/>
                <w:bCs/>
                <w:sz w:val="21"/>
                <w:szCs w:val="21"/>
              </w:rPr>
            </w:pPr>
          </w:p>
          <w:p>
            <w:pPr>
              <w:rPr>
                <w:rFonts w:ascii="宋体" w:hAns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r>
              <w:rPr>
                <w:rFonts w:ascii="宋体"/>
                <w:b/>
                <w:bCs/>
                <w:spacing w:val="17"/>
                <w:kern w:val="0"/>
                <w:sz w:val="21"/>
                <w:szCs w:val="21"/>
              </w:rPr>
              <w:t>2.</w:t>
            </w:r>
            <w:r>
              <w:rPr>
                <w:rFonts w:hint="eastAsia" w:ascii="宋体"/>
                <w:b/>
                <w:bCs/>
                <w:spacing w:val="17"/>
                <w:kern w:val="0"/>
                <w:sz w:val="21"/>
                <w:szCs w:val="21"/>
              </w:rPr>
              <w:t>项目执行情</w:t>
            </w:r>
            <w:r>
              <w:rPr>
                <w:rFonts w:hint="eastAsia" w:ascii="宋体"/>
                <w:b/>
                <w:bCs/>
                <w:spacing w:val="4"/>
                <w:kern w:val="0"/>
                <w:sz w:val="21"/>
                <w:szCs w:val="21"/>
              </w:rPr>
              <w:t>况</w:t>
            </w:r>
          </w:p>
          <w:p>
            <w:pPr>
              <w:adjustRightInd w:val="0"/>
              <w:snapToGrid w:val="0"/>
              <w:spacing w:line="520" w:lineRule="exact"/>
              <w:rPr>
                <w:rFonts w:ascii="宋体"/>
                <w:sz w:val="21"/>
                <w:szCs w:val="21"/>
              </w:rPr>
            </w:pPr>
            <w:r>
              <w:rPr>
                <w:rFonts w:hint="eastAsia" w:ascii="宋体" w:hAnsi="宋体"/>
                <w:spacing w:val="16"/>
                <w:kern w:val="0"/>
                <w:sz w:val="21"/>
                <w:szCs w:val="21"/>
              </w:rPr>
              <w:t>（</w:t>
            </w:r>
            <w:r>
              <w:rPr>
                <w:rFonts w:ascii="宋体" w:hAnsi="宋体"/>
                <w:spacing w:val="16"/>
                <w:kern w:val="0"/>
                <w:sz w:val="21"/>
                <w:szCs w:val="21"/>
              </w:rPr>
              <w:t>1</w:t>
            </w:r>
            <w:r>
              <w:rPr>
                <w:rFonts w:hint="eastAsia" w:ascii="宋体" w:hAnsi="宋体"/>
                <w:spacing w:val="16"/>
                <w:kern w:val="0"/>
                <w:sz w:val="21"/>
                <w:szCs w:val="21"/>
              </w:rPr>
              <w:t>）项目总投入，财政拨款、自筹资金落实情</w:t>
            </w:r>
            <w:r>
              <w:rPr>
                <w:rFonts w:hint="eastAsia" w:ascii="宋体" w:hAnsi="宋体"/>
                <w:spacing w:val="-5"/>
                <w:kern w:val="0"/>
                <w:sz w:val="21"/>
                <w:szCs w:val="21"/>
              </w:rPr>
              <w:t>况</w:t>
            </w: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rPr>
                <w:rFonts w:ascii="宋体"/>
                <w:sz w:val="21"/>
                <w:szCs w:val="21"/>
              </w:rPr>
            </w:pPr>
            <w:r>
              <w:rPr>
                <w:rFonts w:hint="eastAsia" w:ascii="宋体" w:hAnsi="宋体"/>
                <w:spacing w:val="16"/>
                <w:kern w:val="0"/>
                <w:sz w:val="21"/>
                <w:szCs w:val="21"/>
              </w:rPr>
              <w:t>（</w:t>
            </w:r>
            <w:r>
              <w:rPr>
                <w:rFonts w:ascii="宋体" w:hAnsi="宋体"/>
                <w:spacing w:val="16"/>
                <w:kern w:val="0"/>
                <w:sz w:val="21"/>
                <w:szCs w:val="21"/>
              </w:rPr>
              <w:t>2</w:t>
            </w:r>
            <w:r>
              <w:rPr>
                <w:rFonts w:hint="eastAsia" w:ascii="宋体" w:hAnsi="宋体"/>
                <w:spacing w:val="16"/>
                <w:kern w:val="0"/>
                <w:sz w:val="21"/>
                <w:szCs w:val="21"/>
              </w:rPr>
              <w:t>）项目的进展及目标、计划调整情</w:t>
            </w:r>
            <w:r>
              <w:rPr>
                <w:rFonts w:hint="eastAsia" w:ascii="宋体" w:hAnsi="宋体"/>
                <w:spacing w:val="-1"/>
                <w:kern w:val="0"/>
                <w:sz w:val="21"/>
                <w:szCs w:val="21"/>
              </w:rPr>
              <w:t>况</w:t>
            </w: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ind w:firstLine="420" w:firstLineChars="200"/>
              <w:rPr>
                <w:rFonts w:ascii="宋体"/>
                <w:sz w:val="21"/>
                <w:szCs w:val="21"/>
              </w:rPr>
            </w:pPr>
          </w:p>
          <w:p>
            <w:pPr>
              <w:adjustRightInd w:val="0"/>
              <w:snapToGrid w:val="0"/>
              <w:spacing w:line="520" w:lineRule="exact"/>
              <w:rPr>
                <w:rFonts w:ascii="宋体"/>
                <w:sz w:val="21"/>
                <w:szCs w:val="21"/>
              </w:rPr>
            </w:pPr>
            <w:r>
              <w:rPr>
                <w:rFonts w:hint="eastAsia" w:ascii="宋体" w:hAnsi="宋体"/>
                <w:spacing w:val="17"/>
                <w:kern w:val="0"/>
                <w:sz w:val="21"/>
                <w:szCs w:val="21"/>
              </w:rPr>
              <w:t>（</w:t>
            </w:r>
            <w:r>
              <w:rPr>
                <w:rFonts w:ascii="宋体" w:hAnsi="宋体"/>
                <w:spacing w:val="17"/>
                <w:kern w:val="0"/>
                <w:sz w:val="21"/>
                <w:szCs w:val="21"/>
              </w:rPr>
              <w:t>3</w:t>
            </w:r>
            <w:r>
              <w:rPr>
                <w:rFonts w:hint="eastAsia" w:ascii="宋体" w:hAnsi="宋体"/>
                <w:spacing w:val="17"/>
                <w:kern w:val="0"/>
                <w:sz w:val="21"/>
                <w:szCs w:val="21"/>
              </w:rPr>
              <w:t>）实际支出情</w:t>
            </w:r>
            <w:r>
              <w:rPr>
                <w:rFonts w:hint="eastAsia" w:ascii="宋体" w:hAnsi="宋体"/>
                <w:kern w:val="0"/>
                <w:sz w:val="21"/>
                <w:szCs w:val="21"/>
              </w:rPr>
              <w:t>况</w:t>
            </w:r>
          </w:p>
          <w:p>
            <w:pPr>
              <w:adjustRightInd w:val="0"/>
              <w:snapToGrid w:val="0"/>
              <w:spacing w:line="520" w:lineRule="exact"/>
              <w:rPr>
                <w:rFonts w:ascii="宋体"/>
                <w:sz w:val="21"/>
                <w:szCs w:val="21"/>
              </w:rPr>
            </w:pPr>
          </w:p>
          <w:p>
            <w:pPr>
              <w:adjustRightInd w:val="0"/>
              <w:snapToGrid w:val="0"/>
              <w:spacing w:line="520" w:lineRule="exact"/>
              <w:rPr>
                <w:rFonts w:ascii="宋体"/>
                <w:sz w:val="21"/>
                <w:szCs w:val="21"/>
              </w:rPr>
            </w:pPr>
          </w:p>
          <w:p>
            <w:pPr>
              <w:adjustRightInd w:val="0"/>
              <w:snapToGrid w:val="0"/>
              <w:spacing w:line="520" w:lineRule="exact"/>
              <w:rPr>
                <w:rFonts w:ascii="宋体"/>
                <w:sz w:val="21"/>
                <w:szCs w:val="21"/>
              </w:rPr>
            </w:pPr>
          </w:p>
          <w:p>
            <w:pPr>
              <w:adjustRightInd w:val="0"/>
              <w:snapToGrid w:val="0"/>
              <w:spacing w:line="520" w:lineRule="exact"/>
              <w:rPr>
                <w:rFonts w:ascii="宋体"/>
                <w:sz w:val="21"/>
                <w:szCs w:val="21"/>
              </w:rPr>
            </w:pPr>
          </w:p>
          <w:p>
            <w:pPr>
              <w:adjustRightInd w:val="0"/>
              <w:snapToGrid w:val="0"/>
              <w:spacing w:line="520" w:lineRule="exact"/>
              <w:rPr>
                <w:rFonts w:ascii="宋体"/>
                <w:sz w:val="21"/>
                <w:szCs w:val="21"/>
              </w:rPr>
            </w:pPr>
            <w:r>
              <w:rPr>
                <w:rFonts w:hint="eastAsia" w:ascii="宋体" w:hAnsi="宋体"/>
                <w:spacing w:val="17"/>
                <w:kern w:val="0"/>
                <w:sz w:val="21"/>
                <w:szCs w:val="21"/>
              </w:rPr>
              <w:t>（</w:t>
            </w:r>
            <w:r>
              <w:rPr>
                <w:rFonts w:ascii="宋体" w:hAnsi="宋体"/>
                <w:spacing w:val="17"/>
                <w:kern w:val="0"/>
                <w:sz w:val="21"/>
                <w:szCs w:val="21"/>
              </w:rPr>
              <w:t>4</w:t>
            </w:r>
            <w:r>
              <w:rPr>
                <w:rFonts w:hint="eastAsia" w:ascii="宋体" w:hAnsi="宋体"/>
                <w:spacing w:val="17"/>
                <w:kern w:val="0"/>
                <w:sz w:val="21"/>
                <w:szCs w:val="21"/>
              </w:rPr>
              <w:t>）项目建设保</w:t>
            </w:r>
            <w:r>
              <w:rPr>
                <w:rFonts w:hint="eastAsia" w:ascii="宋体" w:hAnsi="宋体"/>
                <w:kern w:val="0"/>
                <w:sz w:val="21"/>
                <w:szCs w:val="21"/>
              </w:rPr>
              <w:t>障</w:t>
            </w: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sz w:val="21"/>
                <w:szCs w:val="21"/>
              </w:rPr>
            </w:pPr>
          </w:p>
          <w:p>
            <w:pPr>
              <w:rPr>
                <w:rFonts w:ascii="宋体"/>
                <w:b/>
                <w:bCs/>
                <w:kern w:val="0"/>
                <w:sz w:val="21"/>
                <w:szCs w:val="21"/>
              </w:rPr>
            </w:pPr>
          </w:p>
          <w:p>
            <w:pPr>
              <w:rPr>
                <w:rFonts w:ascii="宋体"/>
                <w:b/>
                <w:bCs/>
                <w:kern w:val="0"/>
                <w:sz w:val="21"/>
                <w:szCs w:val="21"/>
              </w:rPr>
            </w:pPr>
          </w:p>
          <w:p>
            <w:pPr>
              <w:rPr>
                <w:rFonts w:ascii="宋体"/>
                <w:b/>
                <w:bCs/>
                <w:kern w:val="0"/>
                <w:sz w:val="21"/>
                <w:szCs w:val="21"/>
              </w:rPr>
            </w:pPr>
          </w:p>
          <w:p>
            <w:pPr>
              <w:rPr>
                <w:rFonts w:ascii="宋体"/>
                <w:bCs/>
                <w:sz w:val="21"/>
                <w:szCs w:val="21"/>
              </w:rPr>
            </w:pPr>
            <w:r>
              <w:rPr>
                <w:rFonts w:ascii="宋体"/>
                <w:b/>
                <w:bCs/>
                <w:spacing w:val="16"/>
                <w:kern w:val="0"/>
                <w:sz w:val="21"/>
                <w:szCs w:val="21"/>
              </w:rPr>
              <w:t>3.</w:t>
            </w:r>
            <w:r>
              <w:rPr>
                <w:rFonts w:hint="eastAsia" w:ascii="宋体"/>
                <w:b/>
                <w:bCs/>
                <w:spacing w:val="16"/>
                <w:kern w:val="0"/>
                <w:sz w:val="21"/>
                <w:szCs w:val="21"/>
              </w:rPr>
              <w:t>项目建设绩效情</w:t>
            </w:r>
            <w:r>
              <w:rPr>
                <w:rFonts w:hint="eastAsia" w:ascii="宋体"/>
                <w:b/>
                <w:bCs/>
                <w:spacing w:val="7"/>
                <w:kern w:val="0"/>
                <w:sz w:val="21"/>
                <w:szCs w:val="21"/>
              </w:rPr>
              <w:t>况</w:t>
            </w:r>
          </w:p>
          <w:p>
            <w:pPr>
              <w:adjustRightInd w:val="0"/>
              <w:snapToGrid w:val="0"/>
              <w:spacing w:line="480" w:lineRule="exact"/>
              <w:rPr>
                <w:rFonts w:ascii="仿宋_GB2312" w:hAnsi="宋体" w:eastAsia="仿宋_GB2312"/>
                <w:color w:val="000000"/>
                <w:sz w:val="21"/>
                <w:szCs w:val="21"/>
              </w:rPr>
            </w:pPr>
            <w:r>
              <w:rPr>
                <w:rFonts w:hint="eastAsia" w:ascii="仿宋_GB2312" w:hAnsi="宋体" w:eastAsia="仿宋_GB2312"/>
                <w:color w:val="000000"/>
                <w:spacing w:val="15"/>
                <w:kern w:val="0"/>
                <w:sz w:val="21"/>
                <w:szCs w:val="21"/>
              </w:rPr>
              <w:t>（</w:t>
            </w:r>
            <w:r>
              <w:rPr>
                <w:rFonts w:ascii="仿宋_GB2312" w:hAnsi="宋体" w:eastAsia="仿宋_GB2312"/>
                <w:color w:val="000000"/>
                <w:spacing w:val="15"/>
                <w:kern w:val="0"/>
                <w:sz w:val="21"/>
                <w:szCs w:val="21"/>
              </w:rPr>
              <w:t>1</w:t>
            </w:r>
            <w:r>
              <w:rPr>
                <w:rFonts w:hint="eastAsia" w:ascii="仿宋_GB2312" w:hAnsi="宋体" w:eastAsia="仿宋_GB2312"/>
                <w:color w:val="000000"/>
                <w:spacing w:val="15"/>
                <w:kern w:val="0"/>
                <w:sz w:val="21"/>
                <w:szCs w:val="21"/>
              </w:rPr>
              <w:t>）</w:t>
            </w:r>
            <w:r>
              <w:rPr>
                <w:rFonts w:hint="eastAsia" w:ascii="宋体"/>
                <w:bCs/>
                <w:spacing w:val="15"/>
                <w:kern w:val="0"/>
                <w:sz w:val="21"/>
                <w:szCs w:val="21"/>
              </w:rPr>
              <w:t>建设内容的完成情</w:t>
            </w:r>
            <w:r>
              <w:rPr>
                <w:rFonts w:hint="eastAsia" w:ascii="宋体"/>
                <w:bCs/>
                <w:spacing w:val="6"/>
                <w:kern w:val="0"/>
                <w:sz w:val="21"/>
                <w:szCs w:val="21"/>
              </w:rPr>
              <w:t>况</w:t>
            </w: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宋体"/>
                <w:bCs/>
                <w:sz w:val="21"/>
                <w:szCs w:val="21"/>
              </w:rPr>
            </w:pPr>
            <w:r>
              <w:rPr>
                <w:rFonts w:hint="eastAsia" w:ascii="宋体"/>
                <w:bCs/>
                <w:spacing w:val="15"/>
                <w:kern w:val="0"/>
                <w:sz w:val="21"/>
                <w:szCs w:val="21"/>
              </w:rPr>
              <w:t>（</w:t>
            </w:r>
            <w:r>
              <w:rPr>
                <w:rFonts w:ascii="宋体"/>
                <w:bCs/>
                <w:spacing w:val="15"/>
                <w:kern w:val="0"/>
                <w:sz w:val="21"/>
                <w:szCs w:val="21"/>
              </w:rPr>
              <w:t>2</w:t>
            </w:r>
            <w:r>
              <w:rPr>
                <w:rFonts w:hint="eastAsia" w:ascii="宋体"/>
                <w:bCs/>
                <w:spacing w:val="15"/>
                <w:kern w:val="0"/>
                <w:sz w:val="21"/>
                <w:szCs w:val="21"/>
              </w:rPr>
              <w:t>）主要教学、科研、地方服务及社会经济效益等情况</w:t>
            </w: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r>
              <w:rPr>
                <w:rFonts w:hint="eastAsia" w:ascii="仿宋_GB2312" w:hAnsi="宋体" w:eastAsia="仿宋_GB2312"/>
                <w:color w:val="000000"/>
                <w:spacing w:val="16"/>
                <w:kern w:val="0"/>
                <w:sz w:val="21"/>
                <w:szCs w:val="21"/>
              </w:rPr>
              <w:t>（</w:t>
            </w:r>
            <w:r>
              <w:rPr>
                <w:rFonts w:ascii="仿宋_GB2312" w:hAnsi="宋体" w:eastAsia="仿宋_GB2312"/>
                <w:color w:val="000000"/>
                <w:spacing w:val="16"/>
                <w:kern w:val="0"/>
                <w:sz w:val="21"/>
                <w:szCs w:val="21"/>
              </w:rPr>
              <w:t>3</w:t>
            </w:r>
            <w:r>
              <w:rPr>
                <w:rFonts w:hint="eastAsia" w:ascii="仿宋_GB2312" w:hAnsi="宋体" w:eastAsia="仿宋_GB2312"/>
                <w:color w:val="000000"/>
                <w:spacing w:val="16"/>
                <w:kern w:val="0"/>
                <w:sz w:val="21"/>
                <w:szCs w:val="21"/>
              </w:rPr>
              <w:t>）</w:t>
            </w:r>
            <w:r>
              <w:rPr>
                <w:rFonts w:hint="eastAsia" w:ascii="宋体"/>
                <w:bCs/>
                <w:spacing w:val="16"/>
                <w:kern w:val="0"/>
                <w:sz w:val="21"/>
                <w:szCs w:val="21"/>
              </w:rPr>
              <w:t>取得的标志性成</w:t>
            </w:r>
            <w:r>
              <w:rPr>
                <w:rFonts w:hint="eastAsia" w:ascii="宋体"/>
                <w:bCs/>
                <w:spacing w:val="-3"/>
                <w:kern w:val="0"/>
                <w:sz w:val="21"/>
                <w:szCs w:val="21"/>
              </w:rPr>
              <w:t>果</w:t>
            </w: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宋体"/>
                <w:b/>
                <w:bCs/>
                <w:sz w:val="21"/>
                <w:szCs w:val="21"/>
              </w:rPr>
            </w:pPr>
            <w:r>
              <w:rPr>
                <w:rFonts w:ascii="宋体"/>
                <w:b/>
                <w:bCs/>
                <w:spacing w:val="16"/>
                <w:kern w:val="0"/>
                <w:sz w:val="21"/>
                <w:szCs w:val="21"/>
              </w:rPr>
              <w:t>4.</w:t>
            </w:r>
            <w:r>
              <w:rPr>
                <w:rFonts w:hint="eastAsia" w:ascii="宋体"/>
                <w:b/>
                <w:bCs/>
                <w:spacing w:val="16"/>
                <w:kern w:val="0"/>
                <w:sz w:val="21"/>
                <w:szCs w:val="21"/>
              </w:rPr>
              <w:t>建设中发现的问</w:t>
            </w:r>
            <w:r>
              <w:rPr>
                <w:rFonts w:hint="eastAsia" w:ascii="宋体"/>
                <w:b/>
                <w:bCs/>
                <w:spacing w:val="7"/>
                <w:kern w:val="0"/>
                <w:sz w:val="21"/>
                <w:szCs w:val="21"/>
              </w:rPr>
              <w:t>题</w:t>
            </w:r>
          </w:p>
          <w:p>
            <w:pPr>
              <w:adjustRightInd w:val="0"/>
              <w:snapToGrid w:val="0"/>
              <w:spacing w:line="480" w:lineRule="exact"/>
              <w:rPr>
                <w:rFonts w:ascii="宋体"/>
                <w:b/>
                <w:bCs/>
                <w:sz w:val="21"/>
                <w:szCs w:val="21"/>
              </w:rPr>
            </w:pPr>
          </w:p>
          <w:p>
            <w:pPr>
              <w:adjustRightInd w:val="0"/>
              <w:snapToGrid w:val="0"/>
              <w:spacing w:line="480" w:lineRule="exact"/>
              <w:rPr>
                <w:rFonts w:ascii="宋体"/>
                <w:b/>
                <w:bCs/>
                <w:sz w:val="21"/>
                <w:szCs w:val="21"/>
              </w:rPr>
            </w:pPr>
          </w:p>
          <w:p>
            <w:pPr>
              <w:adjustRightInd w:val="0"/>
              <w:snapToGrid w:val="0"/>
              <w:spacing w:line="480" w:lineRule="exact"/>
              <w:rPr>
                <w:rFonts w:ascii="宋体"/>
                <w:b/>
                <w:bCs/>
                <w:sz w:val="21"/>
                <w:szCs w:val="21"/>
              </w:rPr>
            </w:pPr>
          </w:p>
          <w:p>
            <w:pPr>
              <w:adjustRightInd w:val="0"/>
              <w:snapToGrid w:val="0"/>
              <w:spacing w:line="480" w:lineRule="exact"/>
              <w:rPr>
                <w:rFonts w:ascii="宋体"/>
                <w:b/>
                <w:bCs/>
                <w:sz w:val="21"/>
                <w:szCs w:val="21"/>
              </w:rPr>
            </w:pPr>
            <w:r>
              <w:rPr>
                <w:rFonts w:ascii="宋体"/>
                <w:b/>
                <w:bCs/>
                <w:spacing w:val="17"/>
                <w:kern w:val="0"/>
                <w:sz w:val="21"/>
                <w:szCs w:val="21"/>
              </w:rPr>
              <w:t>5.</w:t>
            </w:r>
            <w:r>
              <w:rPr>
                <w:rFonts w:hint="eastAsia" w:ascii="宋体"/>
                <w:b/>
                <w:bCs/>
                <w:spacing w:val="17"/>
                <w:kern w:val="0"/>
                <w:sz w:val="21"/>
                <w:szCs w:val="21"/>
              </w:rPr>
              <w:t>相关意见与建</w:t>
            </w:r>
            <w:r>
              <w:rPr>
                <w:rFonts w:hint="eastAsia" w:ascii="宋体"/>
                <w:b/>
                <w:bCs/>
                <w:spacing w:val="1"/>
                <w:kern w:val="0"/>
                <w:sz w:val="21"/>
                <w:szCs w:val="21"/>
              </w:rPr>
              <w:t>议</w:t>
            </w: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仿宋_GB2312" w:hAnsi="宋体" w:eastAsia="仿宋_GB2312"/>
                <w:color w:val="000000"/>
                <w:sz w:val="21"/>
                <w:szCs w:val="21"/>
              </w:rPr>
            </w:pPr>
          </w:p>
          <w:p>
            <w:pPr>
              <w:adjustRightInd w:val="0"/>
              <w:snapToGrid w:val="0"/>
              <w:spacing w:line="480" w:lineRule="exact"/>
              <w:rPr>
                <w:rFonts w:ascii="宋体"/>
                <w:b/>
                <w:bCs/>
                <w:kern w:val="0"/>
                <w:sz w:val="21"/>
                <w:szCs w:val="21"/>
              </w:rPr>
            </w:pPr>
            <w:r>
              <w:rPr>
                <w:rFonts w:ascii="宋体"/>
                <w:b/>
                <w:bCs/>
                <w:spacing w:val="32"/>
                <w:kern w:val="0"/>
                <w:sz w:val="21"/>
                <w:szCs w:val="21"/>
              </w:rPr>
              <w:t>6.</w:t>
            </w:r>
            <w:r>
              <w:rPr>
                <w:rFonts w:hint="eastAsia" w:ascii="宋体"/>
                <w:b/>
                <w:bCs/>
                <w:spacing w:val="32"/>
                <w:kern w:val="0"/>
                <w:sz w:val="21"/>
                <w:szCs w:val="21"/>
              </w:rPr>
              <w:t>附件：附件</w:t>
            </w:r>
            <w:r>
              <w:rPr>
                <w:rFonts w:ascii="宋体"/>
                <w:b/>
                <w:bCs/>
                <w:spacing w:val="32"/>
                <w:kern w:val="0"/>
                <w:sz w:val="21"/>
                <w:szCs w:val="21"/>
              </w:rPr>
              <w:t>1-</w:t>
            </w:r>
            <w:r>
              <w:rPr>
                <w:rFonts w:ascii="宋体"/>
                <w:b/>
                <w:bCs/>
                <w:kern w:val="0"/>
                <w:sz w:val="21"/>
                <w:szCs w:val="21"/>
              </w:rPr>
              <w:t>4</w:t>
            </w:r>
          </w:p>
          <w:tbl>
            <w:tblPr>
              <w:tblStyle w:val="13"/>
              <w:tblpPr w:leftFromText="180" w:rightFromText="180" w:vertAnchor="page" w:horzAnchor="margin" w:tblpXSpec="center" w:tblpY="326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886"/>
              <w:gridCol w:w="1417"/>
              <w:gridCol w:w="1276"/>
              <w:gridCol w:w="1276"/>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98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序</w:t>
                  </w:r>
                  <w:r>
                    <w:rPr>
                      <w:rFonts w:hint="eastAsia" w:ascii="宋体" w:hAnsi="宋体"/>
                      <w:spacing w:val="-30"/>
                      <w:kern w:val="0"/>
                      <w:sz w:val="21"/>
                      <w:szCs w:val="21"/>
                    </w:rPr>
                    <w:t>号</w:t>
                  </w:r>
                </w:p>
              </w:tc>
              <w:tc>
                <w:tcPr>
                  <w:tcW w:w="188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pacing w:val="20"/>
                      <w:kern w:val="0"/>
                      <w:sz w:val="21"/>
                      <w:szCs w:val="21"/>
                    </w:rPr>
                    <w:t>付款日</w:t>
                  </w:r>
                  <w:r>
                    <w:rPr>
                      <w:rFonts w:hint="eastAsia" w:ascii="宋体" w:hAnsi="宋体"/>
                      <w:kern w:val="0"/>
                      <w:sz w:val="21"/>
                      <w:szCs w:val="21"/>
                    </w:rPr>
                    <w:t>期</w:t>
                  </w: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pacing w:val="20"/>
                      <w:kern w:val="0"/>
                      <w:sz w:val="21"/>
                      <w:szCs w:val="21"/>
                    </w:rPr>
                    <w:t>财务凭</w:t>
                  </w:r>
                  <w:r>
                    <w:rPr>
                      <w:rFonts w:hint="eastAsia" w:ascii="宋体" w:hAnsi="宋体"/>
                      <w:kern w:val="0"/>
                      <w:sz w:val="21"/>
                      <w:szCs w:val="21"/>
                    </w:rPr>
                    <w:t>证</w:t>
                  </w: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pacing w:val="60"/>
                      <w:kern w:val="0"/>
                      <w:sz w:val="21"/>
                      <w:szCs w:val="21"/>
                    </w:rPr>
                    <w:t>内</w:t>
                  </w:r>
                  <w:r>
                    <w:rPr>
                      <w:rFonts w:hint="eastAsia" w:ascii="宋体" w:hAnsi="宋体"/>
                      <w:spacing w:val="-30"/>
                      <w:kern w:val="0"/>
                      <w:sz w:val="21"/>
                      <w:szCs w:val="21"/>
                    </w:rPr>
                    <w:t>容</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pacing w:val="19"/>
                      <w:kern w:val="0"/>
                      <w:sz w:val="21"/>
                      <w:szCs w:val="21"/>
                    </w:rPr>
                    <w:t>金额（元</w:t>
                  </w:r>
                  <w:r>
                    <w:rPr>
                      <w:rFonts w:hint="eastAsia" w:ascii="宋体" w:hAnsi="宋体"/>
                      <w:kern w:val="0"/>
                      <w:sz w:val="21"/>
                      <w:szCs w:val="21"/>
                    </w:rPr>
                    <w:t>）</w:t>
                  </w: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r>
                    <w:rPr>
                      <w:rFonts w:hint="eastAsia" w:ascii="宋体" w:hAnsi="宋体"/>
                      <w:spacing w:val="60"/>
                      <w:kern w:val="0"/>
                      <w:sz w:val="21"/>
                      <w:szCs w:val="21"/>
                    </w:rPr>
                    <w:t>备</w:t>
                  </w:r>
                  <w:r>
                    <w:rPr>
                      <w:rFonts w:hint="eastAsia" w:ascii="宋体" w:hAnsi="宋体"/>
                      <w:spacing w:val="-30"/>
                      <w:kern w:val="0"/>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8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FF0000"/>
                      <w:sz w:val="21"/>
                      <w:szCs w:val="21"/>
                    </w:rPr>
                  </w:pPr>
                  <w:r>
                    <w:rPr>
                      <w:rFonts w:hint="eastAsia" w:ascii="宋体" w:hAnsi="宋体"/>
                      <w:spacing w:val="15"/>
                      <w:kern w:val="0"/>
                      <w:sz w:val="21"/>
                      <w:szCs w:val="21"/>
                    </w:rPr>
                    <w:t>1</w:t>
                  </w:r>
                </w:p>
              </w:tc>
              <w:tc>
                <w:tcPr>
                  <w:tcW w:w="1886"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color w:val="FF0000"/>
                      <w:sz w:val="21"/>
                      <w:szCs w:val="21"/>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FF0000"/>
                      <w:sz w:val="21"/>
                      <w:szCs w:val="21"/>
                    </w:rPr>
                  </w:pP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olor w:val="FF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FF0000"/>
                      <w:sz w:val="21"/>
                      <w:szCs w:val="21"/>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98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pacing w:val="15"/>
                      <w:kern w:val="0"/>
                      <w:sz w:val="21"/>
                      <w:szCs w:val="21"/>
                    </w:rPr>
                    <w:t>2</w:t>
                  </w:r>
                </w:p>
              </w:tc>
              <w:tc>
                <w:tcPr>
                  <w:tcW w:w="1886"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sz w:val="21"/>
                      <w:szCs w:val="21"/>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98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pacing w:val="15"/>
                      <w:kern w:val="0"/>
                      <w:sz w:val="21"/>
                      <w:szCs w:val="21"/>
                    </w:rPr>
                    <w:t>3</w:t>
                  </w:r>
                </w:p>
              </w:tc>
              <w:tc>
                <w:tcPr>
                  <w:tcW w:w="1886"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sz w:val="21"/>
                      <w:szCs w:val="21"/>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98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pacing w:val="15"/>
                      <w:kern w:val="0"/>
                      <w:sz w:val="21"/>
                      <w:szCs w:val="21"/>
                    </w:rPr>
                    <w:t>4</w:t>
                  </w:r>
                </w:p>
              </w:tc>
              <w:tc>
                <w:tcPr>
                  <w:tcW w:w="1886"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sz w:val="21"/>
                      <w:szCs w:val="21"/>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88" w:type="dxa"/>
                  <w:tcBorders>
                    <w:top w:val="single" w:color="000000" w:sz="4" w:space="0"/>
                    <w:left w:val="single" w:color="000000" w:sz="4" w:space="0"/>
                    <w:bottom w:val="single" w:color="000000" w:sz="4" w:space="0"/>
                    <w:right w:val="single" w:color="auto" w:sz="4" w:space="0"/>
                  </w:tcBorders>
                  <w:vAlign w:val="center"/>
                </w:tcPr>
                <w:p>
                  <w:pPr>
                    <w:jc w:val="left"/>
                    <w:rPr>
                      <w:rFonts w:ascii="宋体" w:hAnsi="宋体"/>
                      <w:sz w:val="21"/>
                      <w:szCs w:val="21"/>
                    </w:rPr>
                  </w:pPr>
                  <w:r>
                    <w:rPr>
                      <w:rFonts w:hint="eastAsia" w:ascii="宋体" w:hAnsi="宋体"/>
                      <w:spacing w:val="60"/>
                      <w:kern w:val="0"/>
                      <w:sz w:val="21"/>
                      <w:szCs w:val="21"/>
                    </w:rPr>
                    <w:t>合</w:t>
                  </w:r>
                  <w:r>
                    <w:rPr>
                      <w:rFonts w:hint="eastAsia" w:ascii="宋体" w:hAnsi="宋体"/>
                      <w:spacing w:val="-30"/>
                      <w:kern w:val="0"/>
                      <w:sz w:val="21"/>
                      <w:szCs w:val="21"/>
                    </w:rPr>
                    <w:t>计</w:t>
                  </w:r>
                </w:p>
              </w:tc>
              <w:tc>
                <w:tcPr>
                  <w:tcW w:w="1886"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sz w:val="21"/>
                      <w:szCs w:val="21"/>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 w:val="21"/>
                      <w:szCs w:val="21"/>
                    </w:rPr>
                  </w:pPr>
                </w:p>
              </w:tc>
              <w:tc>
                <w:tcPr>
                  <w:tcW w:w="1276"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c>
                <w:tcPr>
                  <w:tcW w:w="1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1"/>
                      <w:szCs w:val="21"/>
                    </w:rPr>
                  </w:pPr>
                </w:p>
              </w:tc>
            </w:tr>
          </w:tbl>
          <w:p>
            <w:pPr>
              <w:spacing w:line="360" w:lineRule="auto"/>
              <w:rPr>
                <w:rFonts w:ascii="仿宋_GB2312" w:hAnsi="宋体" w:eastAsia="仿宋_GB2312"/>
                <w:bCs/>
                <w:color w:val="000000"/>
                <w:sz w:val="21"/>
                <w:szCs w:val="21"/>
              </w:rPr>
            </w:pPr>
          </w:p>
          <w:p>
            <w:pPr>
              <w:spacing w:line="360" w:lineRule="auto"/>
              <w:rPr>
                <w:rFonts w:ascii="宋体" w:hAnsi="宋体"/>
                <w:bCs/>
                <w:color w:val="000000"/>
                <w:sz w:val="21"/>
                <w:szCs w:val="21"/>
              </w:rPr>
            </w:pPr>
            <w:r>
              <w:rPr>
                <w:rFonts w:hint="eastAsia" w:ascii="宋体" w:hAnsi="宋体"/>
                <w:bCs/>
                <w:color w:val="000000"/>
                <w:spacing w:val="14"/>
                <w:kern w:val="0"/>
                <w:sz w:val="21"/>
                <w:szCs w:val="21"/>
              </w:rPr>
              <w:t>附件1   衢州学院××实验室建设项目经费支出明细</w:t>
            </w:r>
            <w:r>
              <w:rPr>
                <w:rFonts w:hint="eastAsia" w:ascii="宋体" w:hAnsi="宋体"/>
                <w:bCs/>
                <w:color w:val="000000"/>
                <w:spacing w:val="1"/>
                <w:kern w:val="0"/>
                <w:sz w:val="21"/>
                <w:szCs w:val="21"/>
              </w:rPr>
              <w:t>表</w:t>
            </w:r>
          </w:p>
          <w:p>
            <w:pPr>
              <w:spacing w:line="360" w:lineRule="auto"/>
              <w:jc w:val="center"/>
              <w:rPr>
                <w:rFonts w:ascii="宋体" w:hAnsi="宋体"/>
                <w:b/>
                <w:bCs/>
                <w:color w:val="000000"/>
                <w:sz w:val="21"/>
                <w:szCs w:val="21"/>
              </w:rPr>
            </w:pPr>
            <w:r>
              <w:rPr>
                <w:rFonts w:hint="eastAsia" w:ascii="宋体" w:hAnsi="宋体"/>
                <w:b/>
                <w:bCs/>
                <w:color w:val="000000"/>
                <w:spacing w:val="17"/>
                <w:kern w:val="0"/>
                <w:sz w:val="21"/>
                <w:szCs w:val="21"/>
              </w:rPr>
              <w:t>××实验室建设项目经费支出明细</w:t>
            </w:r>
            <w:r>
              <w:rPr>
                <w:rFonts w:hint="eastAsia" w:ascii="宋体" w:hAnsi="宋体"/>
                <w:b/>
                <w:bCs/>
                <w:color w:val="000000"/>
                <w:spacing w:val="3"/>
                <w:kern w:val="0"/>
                <w:sz w:val="21"/>
                <w:szCs w:val="21"/>
              </w:rPr>
              <w:t>表</w:t>
            </w:r>
          </w:p>
          <w:p>
            <w:pPr>
              <w:spacing w:line="360" w:lineRule="auto"/>
              <w:ind w:firstLine="898" w:firstLineChars="394"/>
              <w:rPr>
                <w:rFonts w:ascii="宋体" w:hAnsi="宋体"/>
                <w:bCs/>
                <w:color w:val="000000"/>
                <w:sz w:val="21"/>
                <w:szCs w:val="21"/>
                <w:u w:val="single"/>
              </w:rPr>
            </w:pPr>
            <w:r>
              <w:rPr>
                <w:rFonts w:hint="eastAsia" w:ascii="宋体" w:hAnsi="宋体"/>
                <w:bCs/>
                <w:color w:val="000000"/>
                <w:spacing w:val="9"/>
                <w:kern w:val="0"/>
                <w:sz w:val="21"/>
                <w:szCs w:val="21"/>
              </w:rPr>
              <w:t>项目名称：</w:t>
            </w:r>
            <w:r>
              <w:rPr>
                <w:rFonts w:hint="eastAsia" w:ascii="宋体" w:hAnsi="宋体"/>
                <w:bCs/>
                <w:color w:val="000000"/>
                <w:spacing w:val="9"/>
                <w:kern w:val="0"/>
                <w:sz w:val="21"/>
                <w:szCs w:val="21"/>
                <w:u w:val="single"/>
              </w:rPr>
              <w:t xml:space="preserve">           </w:t>
            </w:r>
            <w:r>
              <w:rPr>
                <w:rFonts w:hint="eastAsia" w:ascii="宋体" w:hAnsi="宋体"/>
                <w:bCs/>
                <w:color w:val="000000"/>
                <w:spacing w:val="9"/>
                <w:kern w:val="0"/>
                <w:sz w:val="21"/>
                <w:szCs w:val="21"/>
              </w:rPr>
              <w:t xml:space="preserve">  项目代码：</w:t>
            </w:r>
            <w:r>
              <w:rPr>
                <w:rFonts w:hint="eastAsia" w:ascii="宋体" w:hAnsi="宋体"/>
                <w:bCs/>
                <w:color w:val="000000"/>
                <w:spacing w:val="9"/>
                <w:kern w:val="0"/>
                <w:sz w:val="21"/>
                <w:szCs w:val="21"/>
                <w:u w:val="single"/>
              </w:rPr>
              <w:t xml:space="preserve">            </w:t>
            </w:r>
            <w:r>
              <w:rPr>
                <w:rFonts w:hint="eastAsia" w:ascii="宋体" w:hAnsi="宋体"/>
                <w:bCs/>
                <w:color w:val="000000"/>
                <w:spacing w:val="51"/>
                <w:kern w:val="0"/>
                <w:sz w:val="21"/>
                <w:szCs w:val="21"/>
                <w:u w:val="single"/>
              </w:rPr>
              <w:t xml:space="preserve"> </w:t>
            </w:r>
          </w:p>
          <w:p>
            <w:pPr>
              <w:spacing w:line="360" w:lineRule="auto"/>
              <w:rPr>
                <w:rFonts w:ascii="宋体" w:hAnsi="宋体"/>
                <w:bCs/>
                <w:color w:val="000000"/>
                <w:sz w:val="21"/>
                <w:szCs w:val="21"/>
              </w:rPr>
            </w:pPr>
            <w:r>
              <w:rPr>
                <w:rFonts w:hint="eastAsia" w:ascii="宋体" w:hAnsi="宋体"/>
                <w:bCs/>
                <w:color w:val="000000"/>
                <w:spacing w:val="14"/>
                <w:kern w:val="0"/>
                <w:sz w:val="21"/>
                <w:szCs w:val="21"/>
              </w:rPr>
              <w:t>附件2   衢州学院××实验室建设项目合同一览</w:t>
            </w:r>
            <w:r>
              <w:rPr>
                <w:rFonts w:hint="eastAsia" w:ascii="宋体" w:hAnsi="宋体"/>
                <w:bCs/>
                <w:color w:val="000000"/>
                <w:kern w:val="0"/>
                <w:sz w:val="21"/>
                <w:szCs w:val="21"/>
              </w:rPr>
              <w:t>表</w:t>
            </w:r>
          </w:p>
          <w:p>
            <w:pPr>
              <w:spacing w:line="360" w:lineRule="auto"/>
              <w:jc w:val="center"/>
              <w:rPr>
                <w:rFonts w:ascii="宋体" w:hAnsi="宋体"/>
                <w:b/>
                <w:sz w:val="21"/>
                <w:szCs w:val="21"/>
              </w:rPr>
            </w:pPr>
            <w:r>
              <w:rPr>
                <w:rFonts w:hint="eastAsia" w:ascii="宋体" w:hAnsi="宋体"/>
                <w:b/>
                <w:spacing w:val="17"/>
                <w:kern w:val="0"/>
                <w:sz w:val="21"/>
                <w:szCs w:val="21"/>
              </w:rPr>
              <w:t>××实验室建设项目合同一览</w:t>
            </w:r>
            <w:r>
              <w:rPr>
                <w:rFonts w:hint="eastAsia" w:ascii="宋体" w:hAnsi="宋体"/>
                <w:b/>
                <w:spacing w:val="7"/>
                <w:kern w:val="0"/>
                <w:sz w:val="21"/>
                <w:szCs w:val="21"/>
              </w:rPr>
              <w:t>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92"/>
              <w:gridCol w:w="1093"/>
              <w:gridCol w:w="1275"/>
              <w:gridCol w:w="993"/>
              <w:gridCol w:w="992"/>
              <w:gridCol w:w="144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序</w:t>
                  </w:r>
                  <w:r>
                    <w:rPr>
                      <w:rFonts w:hint="eastAsia" w:ascii="宋体" w:hAnsi="宋体"/>
                      <w:spacing w:val="-30"/>
                      <w:kern w:val="0"/>
                      <w:sz w:val="21"/>
                      <w:szCs w:val="21"/>
                    </w:rPr>
                    <w:t>号</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合</w:t>
                  </w:r>
                  <w:r>
                    <w:rPr>
                      <w:rFonts w:hint="eastAsia" w:ascii="宋体" w:hAnsi="宋体"/>
                      <w:spacing w:val="-30"/>
                      <w:kern w:val="0"/>
                      <w:sz w:val="21"/>
                      <w:szCs w:val="21"/>
                    </w:rPr>
                    <w:t>同</w:t>
                  </w:r>
                </w:p>
                <w:p>
                  <w:pPr>
                    <w:jc w:val="center"/>
                    <w:rPr>
                      <w:rFonts w:ascii="宋体" w:hAnsi="宋体"/>
                      <w:sz w:val="21"/>
                      <w:szCs w:val="21"/>
                    </w:rPr>
                  </w:pPr>
                  <w:r>
                    <w:rPr>
                      <w:rFonts w:hint="eastAsia" w:ascii="宋体" w:hAnsi="宋体"/>
                      <w:spacing w:val="60"/>
                      <w:kern w:val="0"/>
                      <w:sz w:val="21"/>
                      <w:szCs w:val="21"/>
                    </w:rPr>
                    <w:t>名</w:t>
                  </w:r>
                  <w:r>
                    <w:rPr>
                      <w:rFonts w:hint="eastAsia" w:ascii="宋体" w:hAnsi="宋体"/>
                      <w:spacing w:val="-30"/>
                      <w:kern w:val="0"/>
                      <w:sz w:val="21"/>
                      <w:szCs w:val="21"/>
                    </w:rPr>
                    <w:t>称</w:t>
                  </w: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22"/>
                      <w:kern w:val="0"/>
                      <w:sz w:val="21"/>
                      <w:szCs w:val="21"/>
                    </w:rPr>
                    <w:t>合同</w:t>
                  </w:r>
                  <w:r>
                    <w:rPr>
                      <w:rFonts w:hint="eastAsia" w:ascii="宋体" w:hAnsi="宋体"/>
                      <w:spacing w:val="1"/>
                      <w:kern w:val="0"/>
                      <w:sz w:val="21"/>
                      <w:szCs w:val="21"/>
                    </w:rPr>
                    <w:t>号</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合同金额（万元）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签</w:t>
                  </w:r>
                  <w:r>
                    <w:rPr>
                      <w:rFonts w:hint="eastAsia" w:ascii="宋体" w:hAnsi="宋体"/>
                      <w:spacing w:val="-30"/>
                      <w:kern w:val="0"/>
                      <w:sz w:val="21"/>
                      <w:szCs w:val="21"/>
                    </w:rPr>
                    <w:t>订</w:t>
                  </w:r>
                </w:p>
                <w:p>
                  <w:pPr>
                    <w:jc w:val="center"/>
                    <w:rPr>
                      <w:rFonts w:ascii="宋体" w:hAnsi="宋体"/>
                      <w:sz w:val="21"/>
                      <w:szCs w:val="21"/>
                    </w:rPr>
                  </w:pPr>
                  <w:r>
                    <w:rPr>
                      <w:rFonts w:hint="eastAsia" w:ascii="宋体" w:hAnsi="宋体"/>
                      <w:spacing w:val="60"/>
                      <w:kern w:val="0"/>
                      <w:sz w:val="21"/>
                      <w:szCs w:val="21"/>
                    </w:rPr>
                    <w:t>时</w:t>
                  </w:r>
                  <w:r>
                    <w:rPr>
                      <w:rFonts w:hint="eastAsia" w:ascii="宋体" w:hAnsi="宋体"/>
                      <w:spacing w:val="-30"/>
                      <w:kern w:val="0"/>
                      <w:sz w:val="21"/>
                      <w:szCs w:val="21"/>
                    </w:rPr>
                    <w:t>间</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22"/>
                      <w:kern w:val="0"/>
                      <w:sz w:val="21"/>
                      <w:szCs w:val="21"/>
                    </w:rPr>
                    <w:t>供应</w:t>
                  </w:r>
                  <w:r>
                    <w:rPr>
                      <w:rFonts w:hint="eastAsia" w:ascii="宋体" w:hAnsi="宋体"/>
                      <w:spacing w:val="1"/>
                      <w:kern w:val="0"/>
                      <w:sz w:val="21"/>
                      <w:szCs w:val="21"/>
                    </w:rPr>
                    <w:t>商</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主</w:t>
                  </w:r>
                  <w:r>
                    <w:rPr>
                      <w:rFonts w:hint="eastAsia" w:ascii="宋体" w:hAnsi="宋体"/>
                      <w:spacing w:val="-30"/>
                      <w:kern w:val="0"/>
                      <w:sz w:val="21"/>
                      <w:szCs w:val="21"/>
                    </w:rPr>
                    <w:t>要</w:t>
                  </w:r>
                </w:p>
                <w:p>
                  <w:pPr>
                    <w:jc w:val="center"/>
                    <w:rPr>
                      <w:rFonts w:ascii="宋体" w:hAnsi="宋体"/>
                      <w:sz w:val="21"/>
                      <w:szCs w:val="21"/>
                    </w:rPr>
                  </w:pPr>
                  <w:r>
                    <w:rPr>
                      <w:rFonts w:hint="eastAsia" w:ascii="宋体" w:hAnsi="宋体"/>
                      <w:spacing w:val="20"/>
                      <w:kern w:val="0"/>
                      <w:sz w:val="21"/>
                      <w:szCs w:val="21"/>
                    </w:rPr>
                    <w:t>设备内</w:t>
                  </w:r>
                  <w:r>
                    <w:rPr>
                      <w:rFonts w:hint="eastAsia" w:ascii="宋体" w:hAnsi="宋体"/>
                      <w:kern w:val="0"/>
                      <w:sz w:val="21"/>
                      <w:szCs w:val="21"/>
                    </w:rPr>
                    <w:t>容</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备</w:t>
                  </w:r>
                  <w:r>
                    <w:rPr>
                      <w:rFonts w:hint="eastAsia" w:ascii="宋体" w:hAnsi="宋体"/>
                      <w:spacing w:val="-30"/>
                      <w:kern w:val="0"/>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77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7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7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7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7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0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275"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pacing w:val="60"/>
                      <w:kern w:val="0"/>
                      <w:sz w:val="21"/>
                      <w:szCs w:val="21"/>
                    </w:rPr>
                    <w:t>合</w:t>
                  </w:r>
                  <w:r>
                    <w:rPr>
                      <w:rFonts w:hint="eastAsia" w:ascii="宋体" w:hAnsi="宋体"/>
                      <w:spacing w:val="-30"/>
                      <w:kern w:val="0"/>
                      <w:sz w:val="21"/>
                      <w:szCs w:val="21"/>
                    </w:rPr>
                    <w:t>计</w:t>
                  </w: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1"/>
                      <w:szCs w:val="21"/>
                    </w:rPr>
                  </w:pPr>
                </w:p>
              </w:tc>
            </w:tr>
          </w:tbl>
          <w:p>
            <w:pPr>
              <w:spacing w:line="360" w:lineRule="auto"/>
              <w:rPr>
                <w:rFonts w:ascii="宋体" w:hAnsi="宋体"/>
                <w:bCs/>
                <w:color w:val="000000"/>
                <w:spacing w:val="14"/>
                <w:kern w:val="0"/>
                <w:sz w:val="21"/>
                <w:szCs w:val="21"/>
              </w:rPr>
            </w:pPr>
          </w:p>
          <w:p>
            <w:pPr>
              <w:spacing w:line="360" w:lineRule="auto"/>
              <w:rPr>
                <w:rFonts w:ascii="宋体" w:hAnsi="宋体"/>
                <w:bCs/>
                <w:sz w:val="21"/>
                <w:szCs w:val="21"/>
              </w:rPr>
            </w:pPr>
            <w:r>
              <w:rPr>
                <w:rFonts w:hint="eastAsia" w:ascii="宋体" w:hAnsi="宋体"/>
                <w:bCs/>
                <w:color w:val="000000"/>
                <w:spacing w:val="14"/>
                <w:kern w:val="0"/>
                <w:sz w:val="21"/>
                <w:szCs w:val="21"/>
              </w:rPr>
              <w:t>附件3   衢州学院××实验室建设项目建成后实验开出情</w:t>
            </w:r>
            <w:r>
              <w:rPr>
                <w:rFonts w:hint="eastAsia" w:ascii="宋体" w:hAnsi="宋体"/>
                <w:bCs/>
                <w:color w:val="000000"/>
                <w:spacing w:val="3"/>
                <w:kern w:val="0"/>
                <w:sz w:val="21"/>
                <w:szCs w:val="21"/>
              </w:rPr>
              <w:t>况</w:t>
            </w:r>
          </w:p>
          <w:p>
            <w:pPr>
              <w:spacing w:line="360" w:lineRule="auto"/>
              <w:jc w:val="center"/>
              <w:rPr>
                <w:rFonts w:ascii="宋体" w:hAnsi="宋体"/>
                <w:b/>
                <w:bCs/>
                <w:sz w:val="21"/>
                <w:szCs w:val="21"/>
              </w:rPr>
            </w:pPr>
            <w:r>
              <w:rPr>
                <w:rFonts w:hint="eastAsia" w:ascii="宋体" w:hAnsi="宋体"/>
                <w:b/>
                <w:bCs/>
                <w:color w:val="000000"/>
                <w:spacing w:val="17"/>
                <w:kern w:val="0"/>
                <w:sz w:val="21"/>
                <w:szCs w:val="21"/>
              </w:rPr>
              <w:t>××实验室建设项目建成后实验开出情</w:t>
            </w:r>
            <w:r>
              <w:rPr>
                <w:rFonts w:hint="eastAsia" w:ascii="宋体" w:hAnsi="宋体"/>
                <w:b/>
                <w:bCs/>
                <w:color w:val="000000"/>
                <w:kern w:val="0"/>
                <w:sz w:val="21"/>
                <w:szCs w:val="21"/>
              </w:rPr>
              <w:t>况</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2162"/>
              <w:gridCol w:w="945"/>
              <w:gridCol w:w="1720"/>
              <w:gridCol w:w="818"/>
              <w:gridCol w:w="1141"/>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740" w:type="dxa"/>
                  <w:tcBorders>
                    <w:top w:val="single" w:color="000000" w:sz="4" w:space="0"/>
                    <w:left w:val="single" w:color="000000" w:sz="4" w:space="0"/>
                    <w:bottom w:val="single" w:color="000000" w:sz="4" w:space="0"/>
                    <w:right w:val="single" w:color="auto" w:sz="4" w:space="0"/>
                  </w:tcBorders>
                  <w:vAlign w:val="center"/>
                </w:tcPr>
                <w:p>
                  <w:pPr>
                    <w:jc w:val="center"/>
                    <w:rPr>
                      <w:b/>
                      <w:sz w:val="21"/>
                      <w:szCs w:val="21"/>
                    </w:rPr>
                  </w:pPr>
                  <w:r>
                    <w:rPr>
                      <w:rFonts w:hint="eastAsia"/>
                      <w:b/>
                      <w:kern w:val="0"/>
                      <w:sz w:val="21"/>
                      <w:szCs w:val="21"/>
                    </w:rPr>
                    <w:t>序号</w:t>
                  </w:r>
                </w:p>
              </w:tc>
              <w:tc>
                <w:tcPr>
                  <w:tcW w:w="2162" w:type="dxa"/>
                  <w:tcBorders>
                    <w:top w:val="single" w:color="000000" w:sz="4" w:space="0"/>
                    <w:left w:val="single" w:color="auto" w:sz="4" w:space="0"/>
                    <w:bottom w:val="single" w:color="000000" w:sz="4" w:space="0"/>
                    <w:right w:val="single" w:color="000000" w:sz="4" w:space="0"/>
                  </w:tcBorders>
                  <w:vAlign w:val="center"/>
                </w:tcPr>
                <w:p>
                  <w:pPr>
                    <w:jc w:val="center"/>
                    <w:rPr>
                      <w:b/>
                      <w:sz w:val="21"/>
                      <w:szCs w:val="21"/>
                    </w:rPr>
                  </w:pPr>
                  <w:r>
                    <w:rPr>
                      <w:rFonts w:hint="eastAsia"/>
                      <w:b/>
                      <w:kern w:val="0"/>
                      <w:sz w:val="21"/>
                      <w:szCs w:val="21"/>
                    </w:rPr>
                    <w:t>实验（实践）名称</w:t>
                  </w:r>
                </w:p>
              </w:tc>
              <w:tc>
                <w:tcPr>
                  <w:tcW w:w="9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b/>
                      <w:sz w:val="21"/>
                      <w:szCs w:val="21"/>
                    </w:rPr>
                  </w:pPr>
                  <w:r>
                    <w:rPr>
                      <w:rFonts w:hint="eastAsia"/>
                      <w:b/>
                      <w:kern w:val="0"/>
                      <w:sz w:val="21"/>
                      <w:szCs w:val="21"/>
                    </w:rPr>
                    <w:t>所属</w:t>
                  </w:r>
                </w:p>
                <w:p>
                  <w:pPr>
                    <w:adjustRightInd w:val="0"/>
                    <w:snapToGrid w:val="0"/>
                    <w:jc w:val="center"/>
                    <w:rPr>
                      <w:b/>
                      <w:sz w:val="21"/>
                      <w:szCs w:val="21"/>
                    </w:rPr>
                  </w:pPr>
                  <w:r>
                    <w:rPr>
                      <w:rFonts w:hint="eastAsia"/>
                      <w:b/>
                      <w:kern w:val="0"/>
                      <w:sz w:val="21"/>
                      <w:szCs w:val="21"/>
                    </w:rPr>
                    <w:t>课程</w:t>
                  </w:r>
                </w:p>
              </w:tc>
              <w:tc>
                <w:tcPr>
                  <w:tcW w:w="1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b/>
                      <w:sz w:val="21"/>
                      <w:szCs w:val="21"/>
                    </w:rPr>
                  </w:pPr>
                  <w:r>
                    <w:rPr>
                      <w:rFonts w:hint="eastAsia"/>
                      <w:b/>
                      <w:w w:val="97"/>
                      <w:kern w:val="0"/>
                      <w:sz w:val="21"/>
                      <w:szCs w:val="21"/>
                    </w:rPr>
                    <w:t>面向专业</w:t>
                  </w:r>
                  <w:r>
                    <w:rPr>
                      <w:b/>
                      <w:w w:val="97"/>
                      <w:kern w:val="0"/>
                      <w:sz w:val="21"/>
                      <w:szCs w:val="21"/>
                    </w:rPr>
                    <w:t>/</w:t>
                  </w:r>
                  <w:r>
                    <w:rPr>
                      <w:rFonts w:hint="eastAsia"/>
                      <w:b/>
                      <w:w w:val="97"/>
                      <w:kern w:val="0"/>
                      <w:sz w:val="21"/>
                      <w:szCs w:val="21"/>
                    </w:rPr>
                    <w:t>年</w:t>
                  </w:r>
                  <w:r>
                    <w:rPr>
                      <w:rFonts w:hint="eastAsia"/>
                      <w:b/>
                      <w:spacing w:val="4"/>
                      <w:w w:val="97"/>
                      <w:kern w:val="0"/>
                      <w:sz w:val="21"/>
                      <w:szCs w:val="21"/>
                    </w:rPr>
                    <w:t>级</w:t>
                  </w:r>
                </w:p>
              </w:tc>
              <w:tc>
                <w:tcPr>
                  <w:tcW w:w="818"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b/>
                      <w:sz w:val="21"/>
                      <w:szCs w:val="21"/>
                    </w:rPr>
                  </w:pPr>
                  <w:r>
                    <w:rPr>
                      <w:rFonts w:hint="eastAsia"/>
                      <w:b/>
                      <w:kern w:val="0"/>
                      <w:sz w:val="21"/>
                      <w:szCs w:val="21"/>
                    </w:rPr>
                    <w:t>学时</w:t>
                  </w:r>
                </w:p>
              </w:tc>
              <w:tc>
                <w:tcPr>
                  <w:tcW w:w="1141"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b/>
                      <w:sz w:val="21"/>
                      <w:szCs w:val="21"/>
                    </w:rPr>
                  </w:pPr>
                  <w:r>
                    <w:rPr>
                      <w:rFonts w:hint="eastAsia"/>
                      <w:b/>
                      <w:kern w:val="0"/>
                      <w:sz w:val="21"/>
                      <w:szCs w:val="21"/>
                    </w:rPr>
                    <w:t>实验类型</w:t>
                  </w:r>
                </w:p>
              </w:tc>
              <w:tc>
                <w:tcPr>
                  <w:tcW w:w="1571"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b/>
                      <w:sz w:val="21"/>
                      <w:szCs w:val="21"/>
                    </w:rPr>
                  </w:pPr>
                  <w:r>
                    <w:rPr>
                      <w:rFonts w:hint="eastAsia"/>
                      <w:b/>
                      <w:bCs/>
                      <w:w w:val="95"/>
                      <w:kern w:val="0"/>
                      <w:sz w:val="21"/>
                      <w:szCs w:val="21"/>
                    </w:rPr>
                    <w:t>原有</w:t>
                  </w:r>
                  <w:r>
                    <w:rPr>
                      <w:b/>
                      <w:bCs/>
                      <w:w w:val="95"/>
                      <w:kern w:val="0"/>
                      <w:sz w:val="21"/>
                      <w:szCs w:val="21"/>
                    </w:rPr>
                    <w:t>/</w:t>
                  </w:r>
                  <w:r>
                    <w:rPr>
                      <w:rFonts w:hint="eastAsia"/>
                      <w:b/>
                      <w:bCs/>
                      <w:w w:val="95"/>
                      <w:kern w:val="0"/>
                      <w:sz w:val="21"/>
                      <w:szCs w:val="21"/>
                    </w:rPr>
                    <w:t>改进</w:t>
                  </w:r>
                  <w:r>
                    <w:rPr>
                      <w:b/>
                      <w:bCs/>
                      <w:w w:val="95"/>
                      <w:kern w:val="0"/>
                      <w:sz w:val="21"/>
                      <w:szCs w:val="21"/>
                    </w:rPr>
                    <w:t>/</w:t>
                  </w:r>
                  <w:r>
                    <w:rPr>
                      <w:rFonts w:hint="eastAsia"/>
                      <w:b/>
                      <w:bCs/>
                      <w:w w:val="95"/>
                      <w:kern w:val="0"/>
                      <w:sz w:val="21"/>
                      <w:szCs w:val="21"/>
                    </w:rPr>
                    <w:t>新</w:t>
                  </w:r>
                  <w:r>
                    <w:rPr>
                      <w:rFonts w:hint="eastAsia"/>
                      <w:b/>
                      <w:bCs/>
                      <w:spacing w:val="7"/>
                      <w:w w:val="95"/>
                      <w:kern w:val="0"/>
                      <w:sz w:val="21"/>
                      <w:szCs w:val="21"/>
                    </w:rPr>
                    <w:t>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40" w:type="dxa"/>
                  <w:tcBorders>
                    <w:top w:val="single" w:color="000000" w:sz="4" w:space="0"/>
                    <w:left w:val="single" w:color="000000" w:sz="4" w:space="0"/>
                    <w:bottom w:val="single" w:color="000000" w:sz="4" w:space="0"/>
                    <w:right w:val="single" w:color="auto" w:sz="4" w:space="0"/>
                  </w:tcBorders>
                </w:tcPr>
                <w:p>
                  <w:pPr>
                    <w:adjustRightInd w:val="0"/>
                    <w:snapToGrid w:val="0"/>
                    <w:jc w:val="left"/>
                    <w:rPr>
                      <w:rFonts w:ascii="宋体" w:hAnsi="宋体"/>
                      <w:sz w:val="21"/>
                      <w:szCs w:val="21"/>
                    </w:rPr>
                  </w:pPr>
                </w:p>
              </w:tc>
              <w:tc>
                <w:tcPr>
                  <w:tcW w:w="2162" w:type="dxa"/>
                  <w:tcBorders>
                    <w:top w:val="single" w:color="000000" w:sz="4" w:space="0"/>
                    <w:left w:val="single" w:color="auto" w:sz="4" w:space="0"/>
                    <w:bottom w:val="single" w:color="000000" w:sz="4" w:space="0"/>
                    <w:right w:val="single" w:color="000000" w:sz="4" w:space="0"/>
                  </w:tcBorders>
                </w:tcPr>
                <w:p>
                  <w:pPr>
                    <w:adjustRightInd w:val="0"/>
                    <w:snapToGrid w:val="0"/>
                    <w:jc w:val="left"/>
                    <w:rPr>
                      <w:rFonts w:ascii="宋体" w:hAnsi="宋体"/>
                      <w:sz w:val="21"/>
                      <w:szCs w:val="21"/>
                    </w:rPr>
                  </w:pPr>
                </w:p>
              </w:tc>
              <w:tc>
                <w:tcPr>
                  <w:tcW w:w="945" w:type="dxa"/>
                  <w:tcBorders>
                    <w:top w:val="single" w:color="000000" w:sz="4" w:space="0"/>
                    <w:left w:val="single" w:color="000000" w:sz="4" w:space="0"/>
                    <w:bottom w:val="single" w:color="000000" w:sz="4" w:space="0"/>
                    <w:right w:val="single" w:color="000000" w:sz="4" w:space="0"/>
                  </w:tcBorders>
                </w:tcPr>
                <w:p>
                  <w:pPr>
                    <w:adjustRightInd w:val="0"/>
                    <w:snapToGrid w:val="0"/>
                    <w:jc w:val="left"/>
                    <w:rPr>
                      <w:rFonts w:ascii="宋体" w:hAnsi="宋体"/>
                      <w:sz w:val="21"/>
                      <w:szCs w:val="21"/>
                    </w:rPr>
                  </w:pPr>
                </w:p>
              </w:tc>
              <w:tc>
                <w:tcPr>
                  <w:tcW w:w="1720" w:type="dxa"/>
                  <w:tcBorders>
                    <w:top w:val="single" w:color="000000" w:sz="4" w:space="0"/>
                    <w:left w:val="single" w:color="000000" w:sz="4" w:space="0"/>
                    <w:bottom w:val="single" w:color="000000" w:sz="4" w:space="0"/>
                    <w:right w:val="single" w:color="000000" w:sz="4" w:space="0"/>
                  </w:tcBorders>
                </w:tcPr>
                <w:p>
                  <w:pPr>
                    <w:adjustRightInd w:val="0"/>
                    <w:snapToGrid w:val="0"/>
                    <w:jc w:val="left"/>
                    <w:rPr>
                      <w:rFonts w:ascii="宋体" w:hAnsi="宋体"/>
                      <w:sz w:val="21"/>
                      <w:szCs w:val="21"/>
                    </w:rPr>
                  </w:pPr>
                </w:p>
              </w:tc>
              <w:tc>
                <w:tcPr>
                  <w:tcW w:w="818" w:type="dxa"/>
                  <w:tcBorders>
                    <w:top w:val="single" w:color="000000" w:sz="4" w:space="0"/>
                    <w:left w:val="single" w:color="000000" w:sz="4" w:space="0"/>
                    <w:bottom w:val="single" w:color="000000" w:sz="4" w:space="0"/>
                    <w:right w:val="single" w:color="auto" w:sz="4" w:space="0"/>
                  </w:tcBorders>
                </w:tcPr>
                <w:p>
                  <w:pPr>
                    <w:adjustRightInd w:val="0"/>
                    <w:snapToGrid w:val="0"/>
                    <w:jc w:val="left"/>
                    <w:rPr>
                      <w:rFonts w:ascii="宋体" w:hAnsi="宋体"/>
                      <w:sz w:val="21"/>
                      <w:szCs w:val="21"/>
                    </w:rPr>
                  </w:pPr>
                </w:p>
              </w:tc>
              <w:tc>
                <w:tcPr>
                  <w:tcW w:w="1141" w:type="dxa"/>
                  <w:tcBorders>
                    <w:top w:val="single" w:color="000000" w:sz="4" w:space="0"/>
                    <w:left w:val="single" w:color="auto" w:sz="4" w:space="0"/>
                    <w:bottom w:val="single" w:color="000000" w:sz="4" w:space="0"/>
                    <w:right w:val="single" w:color="000000" w:sz="4" w:space="0"/>
                  </w:tcBorders>
                </w:tcPr>
                <w:p>
                  <w:pPr>
                    <w:adjustRightInd w:val="0"/>
                    <w:snapToGrid w:val="0"/>
                    <w:jc w:val="left"/>
                    <w:rPr>
                      <w:rFonts w:ascii="宋体" w:hAnsi="宋体"/>
                      <w:sz w:val="21"/>
                      <w:szCs w:val="21"/>
                    </w:rPr>
                  </w:pPr>
                </w:p>
              </w:tc>
              <w:tc>
                <w:tcPr>
                  <w:tcW w:w="1571" w:type="dxa"/>
                  <w:tcBorders>
                    <w:top w:val="single" w:color="000000" w:sz="4" w:space="0"/>
                    <w:left w:val="single" w:color="000000" w:sz="4" w:space="0"/>
                    <w:bottom w:val="single" w:color="000000" w:sz="4" w:space="0"/>
                    <w:right w:val="single" w:color="auto" w:sz="4" w:space="0"/>
                  </w:tcBorders>
                </w:tcPr>
                <w:p>
                  <w:pPr>
                    <w:adjustRightInd w:val="0"/>
                    <w:snapToGrid w:val="0"/>
                    <w:jc w:val="left"/>
                    <w:rPr>
                      <w:rFonts w:ascii="宋体" w:hAnsi="宋体"/>
                      <w:sz w:val="21"/>
                      <w:szCs w:val="21"/>
                    </w:rPr>
                  </w:pPr>
                </w:p>
              </w:tc>
            </w:tr>
          </w:tbl>
          <w:p>
            <w:pPr>
              <w:spacing w:line="360" w:lineRule="auto"/>
              <w:rPr>
                <w:rFonts w:ascii="宋体" w:hAnsi="宋体"/>
                <w:color w:val="000000"/>
                <w:sz w:val="21"/>
                <w:szCs w:val="21"/>
              </w:rPr>
            </w:pPr>
            <w:r>
              <w:rPr>
                <w:rFonts w:hint="eastAsia" w:ascii="宋体" w:hAnsi="宋体"/>
                <w:color w:val="000000"/>
                <w:spacing w:val="3"/>
                <w:w w:val="98"/>
                <w:kern w:val="0"/>
                <w:sz w:val="21"/>
                <w:szCs w:val="21"/>
              </w:rPr>
              <w:t>注：1.实验类型指演示、验证、综合、设计等实验</w:t>
            </w:r>
            <w:r>
              <w:rPr>
                <w:rFonts w:hint="eastAsia" w:ascii="宋体" w:hAnsi="宋体"/>
                <w:color w:val="000000"/>
                <w:spacing w:val="-23"/>
                <w:w w:val="98"/>
                <w:kern w:val="0"/>
                <w:sz w:val="21"/>
                <w:szCs w:val="21"/>
              </w:rPr>
              <w:t>；</w:t>
            </w:r>
          </w:p>
          <w:p>
            <w:pPr>
              <w:spacing w:line="360" w:lineRule="auto"/>
              <w:rPr>
                <w:rFonts w:ascii="宋体" w:hAnsi="宋体"/>
                <w:color w:val="000000"/>
                <w:sz w:val="21"/>
                <w:szCs w:val="21"/>
              </w:rPr>
            </w:pPr>
            <w:r>
              <w:rPr>
                <w:rFonts w:hint="eastAsia" w:ascii="宋体" w:hAnsi="宋体"/>
                <w:color w:val="000000"/>
                <w:w w:val="93"/>
                <w:kern w:val="0"/>
                <w:sz w:val="21"/>
                <w:szCs w:val="21"/>
              </w:rPr>
              <w:t xml:space="preserve">    2.按原有、改进及新增顺序列表统计</w:t>
            </w:r>
            <w:r>
              <w:rPr>
                <w:rFonts w:hint="eastAsia" w:ascii="宋体" w:hAnsi="宋体"/>
                <w:color w:val="000000"/>
                <w:spacing w:val="18"/>
                <w:w w:val="93"/>
                <w:kern w:val="0"/>
                <w:sz w:val="21"/>
                <w:szCs w:val="21"/>
              </w:rPr>
              <w:t>。</w:t>
            </w:r>
          </w:p>
          <w:p>
            <w:pPr>
              <w:spacing w:line="360" w:lineRule="auto"/>
              <w:rPr>
                <w:bCs/>
                <w:sz w:val="21"/>
                <w:szCs w:val="21"/>
              </w:rPr>
            </w:pPr>
          </w:p>
          <w:p>
            <w:pPr>
              <w:spacing w:line="360" w:lineRule="auto"/>
              <w:rPr>
                <w:rFonts w:ascii="仿宋_GB2312" w:hAnsi="宋体" w:eastAsia="仿宋_GB2312"/>
                <w:bCs/>
                <w:color w:val="000000"/>
                <w:sz w:val="21"/>
                <w:szCs w:val="21"/>
              </w:rPr>
            </w:pPr>
          </w:p>
          <w:p>
            <w:pPr>
              <w:spacing w:line="360" w:lineRule="auto"/>
              <w:rPr>
                <w:rFonts w:ascii="仿宋_GB2312" w:hAnsi="宋体" w:eastAsia="仿宋_GB2312"/>
                <w:bCs/>
                <w:color w:val="000000"/>
                <w:sz w:val="21"/>
                <w:szCs w:val="21"/>
              </w:rPr>
            </w:pPr>
          </w:p>
        </w:tc>
      </w:tr>
    </w:tbl>
    <w:p>
      <w:pPr>
        <w:spacing w:line="360" w:lineRule="auto"/>
        <w:rPr>
          <w:rFonts w:ascii="仿宋_GB2312" w:hAnsi="宋体" w:eastAsia="仿宋_GB2312"/>
          <w:bCs/>
          <w:color w:val="000000"/>
          <w:sz w:val="24"/>
        </w:rPr>
        <w:sectPr>
          <w:headerReference r:id="rId5" w:type="first"/>
          <w:footerReference r:id="rId8" w:type="first"/>
          <w:headerReference r:id="rId4" w:type="default"/>
          <w:footerReference r:id="rId6" w:type="default"/>
          <w:footerReference r:id="rId7" w:type="even"/>
          <w:pgSz w:w="11906" w:h="16838"/>
          <w:pgMar w:top="1440" w:right="1080" w:bottom="1440" w:left="1080" w:header="851" w:footer="992" w:gutter="0"/>
          <w:pgNumType w:start="1"/>
          <w:cols w:space="720" w:num="1"/>
          <w:titlePg/>
          <w:docGrid w:type="lines" w:linePitch="381" w:charSpace="0"/>
        </w:sectPr>
      </w:pPr>
    </w:p>
    <w:p>
      <w:pPr>
        <w:spacing w:line="360" w:lineRule="auto"/>
        <w:rPr>
          <w:rFonts w:ascii="宋体" w:hAnsi="宋体"/>
          <w:bCs/>
          <w:color w:val="000000"/>
          <w:sz w:val="24"/>
        </w:rPr>
      </w:pPr>
      <w:r>
        <w:rPr>
          <w:rFonts w:hint="eastAsia" w:ascii="宋体" w:hAnsi="宋体"/>
          <w:bCs/>
          <w:color w:val="000000"/>
          <w:kern w:val="0"/>
          <w:sz w:val="24"/>
        </w:rPr>
        <w:t>附件4   衢州学院××实验室建设项目设备购置及资金使用情况表</w:t>
      </w:r>
    </w:p>
    <w:p>
      <w:pPr>
        <w:spacing w:line="360" w:lineRule="auto"/>
        <w:jc w:val="center"/>
        <w:rPr>
          <w:rFonts w:ascii="宋体" w:hAnsi="宋体"/>
          <w:b/>
          <w:bCs/>
          <w:color w:val="000000"/>
          <w:sz w:val="30"/>
          <w:szCs w:val="30"/>
        </w:rPr>
      </w:pPr>
      <w:r>
        <w:rPr>
          <w:rFonts w:hint="eastAsia" w:ascii="宋体" w:hAnsi="宋体"/>
          <w:b/>
          <w:bCs/>
          <w:color w:val="000000"/>
          <w:kern w:val="0"/>
          <w:sz w:val="30"/>
          <w:szCs w:val="30"/>
        </w:rPr>
        <w:t>××实验室建设项目设备购置及资金使用情况表</w:t>
      </w:r>
    </w:p>
    <w:tbl>
      <w:tblPr>
        <w:tblStyle w:val="13"/>
        <w:tblpPr w:leftFromText="180" w:rightFromText="180" w:vertAnchor="text" w:horzAnchor="margin" w:tblpXSpec="center" w:tblpY="344"/>
        <w:tblW w:w="0" w:type="auto"/>
        <w:tblInd w:w="0" w:type="dxa"/>
        <w:tblLayout w:type="fixed"/>
        <w:tblCellMar>
          <w:top w:w="0" w:type="dxa"/>
          <w:left w:w="108" w:type="dxa"/>
          <w:bottom w:w="0" w:type="dxa"/>
          <w:right w:w="108" w:type="dxa"/>
        </w:tblCellMar>
      </w:tblPr>
      <w:tblGrid>
        <w:gridCol w:w="1678"/>
        <w:gridCol w:w="1141"/>
        <w:gridCol w:w="855"/>
        <w:gridCol w:w="713"/>
        <w:gridCol w:w="856"/>
        <w:gridCol w:w="1427"/>
        <w:gridCol w:w="998"/>
        <w:gridCol w:w="856"/>
        <w:gridCol w:w="712"/>
        <w:gridCol w:w="856"/>
        <w:gridCol w:w="998"/>
        <w:gridCol w:w="1427"/>
        <w:gridCol w:w="1141"/>
        <w:gridCol w:w="855"/>
      </w:tblGrid>
      <w:tr>
        <w:tblPrEx>
          <w:tblCellMar>
            <w:top w:w="0" w:type="dxa"/>
            <w:left w:w="108" w:type="dxa"/>
            <w:bottom w:w="0" w:type="dxa"/>
            <w:right w:w="108" w:type="dxa"/>
          </w:tblCellMar>
        </w:tblPrEx>
        <w:trPr>
          <w:trHeight w:val="396" w:hRule="atLeast"/>
        </w:trPr>
        <w:tc>
          <w:tcPr>
            <w:tcW w:w="5243"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szCs w:val="21"/>
              </w:rPr>
            </w:pPr>
            <w:r>
              <w:rPr>
                <w:rFonts w:hint="eastAsia" w:ascii="宋体" w:hAnsi="宋体"/>
                <w:b/>
                <w:bCs/>
                <w:color w:val="000000"/>
                <w:w w:val="75"/>
                <w:kern w:val="0"/>
                <w:szCs w:val="21"/>
              </w:rPr>
              <w:t>计划建设内</w:t>
            </w:r>
            <w:r>
              <w:rPr>
                <w:rFonts w:hint="eastAsia" w:ascii="宋体" w:hAnsi="宋体"/>
                <w:b/>
                <w:bCs/>
                <w:color w:val="000000"/>
                <w:spacing w:val="5"/>
                <w:w w:val="75"/>
                <w:kern w:val="0"/>
                <w:szCs w:val="21"/>
              </w:rPr>
              <w:t>容</w:t>
            </w:r>
          </w:p>
        </w:tc>
        <w:tc>
          <w:tcPr>
            <w:tcW w:w="9270" w:type="dxa"/>
            <w:gridSpan w:val="9"/>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szCs w:val="21"/>
              </w:rPr>
            </w:pPr>
            <w:r>
              <w:rPr>
                <w:rFonts w:hint="eastAsia" w:ascii="宋体" w:hAnsi="宋体"/>
                <w:b/>
                <w:bCs/>
                <w:color w:val="000000"/>
                <w:w w:val="75"/>
                <w:kern w:val="0"/>
                <w:szCs w:val="21"/>
              </w:rPr>
              <w:t>实际建设内</w:t>
            </w:r>
            <w:r>
              <w:rPr>
                <w:rFonts w:hint="eastAsia" w:ascii="宋体" w:hAnsi="宋体"/>
                <w:b/>
                <w:bCs/>
                <w:color w:val="000000"/>
                <w:spacing w:val="5"/>
                <w:w w:val="75"/>
                <w:kern w:val="0"/>
                <w:szCs w:val="21"/>
              </w:rPr>
              <w:t>容</w:t>
            </w:r>
          </w:p>
        </w:tc>
      </w:tr>
      <w:tr>
        <w:tblPrEx>
          <w:tblCellMar>
            <w:top w:w="0" w:type="dxa"/>
            <w:left w:w="108" w:type="dxa"/>
            <w:bottom w:w="0" w:type="dxa"/>
            <w:right w:w="108" w:type="dxa"/>
          </w:tblCellMar>
        </w:tblPrEx>
        <w:trPr>
          <w:trHeight w:val="396" w:hRule="atLeast"/>
        </w:trPr>
        <w:tc>
          <w:tcPr>
            <w:tcW w:w="5243"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color w:val="000000"/>
                <w:kern w:val="0"/>
                <w:szCs w:val="21"/>
              </w:rPr>
            </w:pPr>
          </w:p>
        </w:tc>
        <w:tc>
          <w:tcPr>
            <w:tcW w:w="927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color w:val="000000"/>
                <w:kern w:val="0"/>
                <w:szCs w:val="21"/>
              </w:rPr>
            </w:pPr>
          </w:p>
        </w:tc>
      </w:tr>
      <w:tr>
        <w:tblPrEx>
          <w:tblCellMar>
            <w:top w:w="0" w:type="dxa"/>
            <w:left w:w="108" w:type="dxa"/>
            <w:bottom w:w="0" w:type="dxa"/>
            <w:right w:w="108" w:type="dxa"/>
          </w:tblCellMar>
        </w:tblPrEx>
        <w:trPr>
          <w:trHeight w:val="306" w:hRule="atLeast"/>
        </w:trPr>
        <w:tc>
          <w:tcPr>
            <w:tcW w:w="1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设备名称</w:t>
            </w:r>
          </w:p>
        </w:tc>
        <w:tc>
          <w:tcPr>
            <w:tcW w:w="11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型号</w:t>
            </w:r>
          </w:p>
        </w:tc>
        <w:tc>
          <w:tcPr>
            <w:tcW w:w="855" w:type="dxa"/>
            <w:tcBorders>
              <w:top w:val="nil"/>
              <w:left w:val="nil"/>
              <w:bottom w:val="single" w:color="auto" w:sz="4" w:space="0"/>
              <w:right w:val="nil"/>
            </w:tcBorders>
            <w:vAlign w:val="center"/>
          </w:tcPr>
          <w:p>
            <w:pPr>
              <w:widowControl/>
              <w:jc w:val="center"/>
              <w:rPr>
                <w:rFonts w:ascii="宋体"/>
                <w:color w:val="000000"/>
                <w:kern w:val="0"/>
                <w:szCs w:val="21"/>
              </w:rPr>
            </w:pPr>
            <w:r>
              <w:rPr>
                <w:rFonts w:hint="eastAsia" w:ascii="宋体" w:hAnsi="宋体"/>
                <w:color w:val="000000"/>
                <w:kern w:val="0"/>
                <w:szCs w:val="21"/>
              </w:rPr>
              <w:t xml:space="preserve"> </w:t>
            </w:r>
            <w:r>
              <w:rPr>
                <w:rFonts w:hint="eastAsia" w:ascii="宋体" w:hAnsi="宋体"/>
                <w:color w:val="000000"/>
                <w:w w:val="75"/>
                <w:kern w:val="0"/>
                <w:szCs w:val="21"/>
              </w:rPr>
              <w:t>单价</w:t>
            </w:r>
            <w:r>
              <w:rPr>
                <w:rFonts w:ascii="宋体" w:hAnsi="宋体"/>
                <w:color w:val="000000"/>
                <w:w w:val="75"/>
                <w:kern w:val="0"/>
                <w:szCs w:val="21"/>
              </w:rPr>
              <w:t xml:space="preserve"> </w:t>
            </w:r>
          </w:p>
        </w:tc>
        <w:tc>
          <w:tcPr>
            <w:tcW w:w="713"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数量</w:t>
            </w:r>
          </w:p>
        </w:tc>
        <w:tc>
          <w:tcPr>
            <w:tcW w:w="856" w:type="dxa"/>
            <w:tcBorders>
              <w:top w:val="nil"/>
              <w:left w:val="nil"/>
              <w:bottom w:val="single" w:color="auto" w:sz="4" w:space="0"/>
              <w:right w:val="single" w:color="auto" w:sz="4" w:space="0"/>
            </w:tcBorders>
            <w:vAlign w:val="center"/>
          </w:tcPr>
          <w:p>
            <w:pPr>
              <w:widowControl/>
              <w:ind w:firstLine="105" w:firstLineChars="50"/>
              <w:rPr>
                <w:rFonts w:ascii="宋体"/>
                <w:color w:val="000000"/>
                <w:kern w:val="0"/>
                <w:szCs w:val="21"/>
              </w:rPr>
            </w:pPr>
            <w:r>
              <w:rPr>
                <w:rFonts w:hint="eastAsia" w:ascii="宋体" w:hAnsi="宋体"/>
                <w:color w:val="000000"/>
                <w:w w:val="75"/>
                <w:kern w:val="0"/>
                <w:szCs w:val="21"/>
              </w:rPr>
              <w:t>金额</w:t>
            </w:r>
            <w:r>
              <w:rPr>
                <w:rFonts w:ascii="宋体" w:hAnsi="宋体"/>
                <w:color w:val="000000"/>
                <w:w w:val="75"/>
                <w:kern w:val="0"/>
                <w:szCs w:val="21"/>
              </w:rPr>
              <w:t xml:space="preserve">     </w:t>
            </w:r>
          </w:p>
        </w:tc>
        <w:tc>
          <w:tcPr>
            <w:tcW w:w="142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设备名称</w:t>
            </w:r>
          </w:p>
        </w:tc>
        <w:tc>
          <w:tcPr>
            <w:tcW w:w="99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型号</w:t>
            </w: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r>
              <w:rPr>
                <w:rFonts w:hint="eastAsia" w:ascii="宋体" w:hAnsi="宋体"/>
                <w:color w:val="000000"/>
                <w:w w:val="75"/>
                <w:kern w:val="0"/>
                <w:szCs w:val="21"/>
              </w:rPr>
              <w:t>单价</w:t>
            </w:r>
            <w:r>
              <w:rPr>
                <w:rFonts w:ascii="宋体" w:hAnsi="宋体"/>
                <w:color w:val="000000"/>
                <w:w w:val="75"/>
                <w:kern w:val="0"/>
                <w:szCs w:val="21"/>
              </w:rPr>
              <w:t xml:space="preserve"> </w:t>
            </w: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数量</w:t>
            </w: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w w:val="75"/>
                <w:kern w:val="0"/>
                <w:szCs w:val="21"/>
              </w:rPr>
              <w:t>金额</w:t>
            </w:r>
            <w:r>
              <w:rPr>
                <w:rFonts w:ascii="宋体" w:hAnsi="宋体"/>
                <w:color w:val="000000"/>
                <w:w w:val="75"/>
                <w:kern w:val="0"/>
                <w:szCs w:val="21"/>
              </w:rPr>
              <w:t xml:space="preserve">     </w:t>
            </w:r>
          </w:p>
        </w:tc>
        <w:tc>
          <w:tcPr>
            <w:tcW w:w="99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olor w:val="000000"/>
                <w:kern w:val="0"/>
                <w:sz w:val="20"/>
                <w:szCs w:val="20"/>
              </w:rPr>
              <w:t>变更情况及原因</w:t>
            </w:r>
          </w:p>
        </w:tc>
        <w:tc>
          <w:tcPr>
            <w:tcW w:w="1427"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6"/>
                <w:szCs w:val="16"/>
              </w:rPr>
            </w:pPr>
            <w:r>
              <w:rPr>
                <w:rFonts w:hint="eastAsia" w:ascii="宋体" w:hAnsi="宋体"/>
                <w:color w:val="000000"/>
                <w:kern w:val="0"/>
                <w:sz w:val="16"/>
                <w:szCs w:val="16"/>
              </w:rPr>
              <w:t>设备到位情况（已到货</w:t>
            </w:r>
            <w:r>
              <w:rPr>
                <w:rFonts w:ascii="宋体" w:hAnsi="宋体"/>
                <w:color w:val="000000"/>
                <w:kern w:val="0"/>
                <w:sz w:val="16"/>
                <w:szCs w:val="16"/>
              </w:rPr>
              <w:t>/</w:t>
            </w:r>
            <w:r>
              <w:rPr>
                <w:rFonts w:hint="eastAsia" w:ascii="宋体" w:hAnsi="宋体"/>
                <w:color w:val="000000"/>
                <w:kern w:val="0"/>
                <w:sz w:val="16"/>
                <w:szCs w:val="16"/>
              </w:rPr>
              <w:t>以采购未到货</w:t>
            </w:r>
            <w:r>
              <w:rPr>
                <w:rFonts w:ascii="宋体" w:hAnsi="宋体"/>
                <w:color w:val="000000"/>
                <w:kern w:val="0"/>
                <w:sz w:val="16"/>
                <w:szCs w:val="16"/>
              </w:rPr>
              <w:t>/</w:t>
            </w:r>
            <w:r>
              <w:rPr>
                <w:rFonts w:hint="eastAsia" w:ascii="宋体" w:hAnsi="宋体"/>
                <w:color w:val="000000"/>
                <w:kern w:val="0"/>
                <w:sz w:val="16"/>
                <w:szCs w:val="16"/>
              </w:rPr>
              <w:t>未采购）</w:t>
            </w:r>
          </w:p>
        </w:tc>
        <w:tc>
          <w:tcPr>
            <w:tcW w:w="11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olor w:val="000000"/>
                <w:kern w:val="0"/>
                <w:sz w:val="20"/>
                <w:szCs w:val="20"/>
              </w:rPr>
              <w:t>仪器</w:t>
            </w:r>
          </w:p>
          <w:p>
            <w:pPr>
              <w:widowControl/>
              <w:jc w:val="center"/>
              <w:rPr>
                <w:rFonts w:ascii="宋体"/>
                <w:color w:val="000000"/>
                <w:kern w:val="0"/>
                <w:sz w:val="20"/>
                <w:szCs w:val="20"/>
              </w:rPr>
            </w:pPr>
            <w:r>
              <w:rPr>
                <w:rFonts w:hint="eastAsia" w:ascii="宋体" w:hAnsi="宋体"/>
                <w:color w:val="000000"/>
                <w:kern w:val="0"/>
                <w:sz w:val="20"/>
                <w:szCs w:val="20"/>
              </w:rPr>
              <w:t>编号</w:t>
            </w:r>
          </w:p>
        </w:tc>
        <w:tc>
          <w:tcPr>
            <w:tcW w:w="85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olor w:val="000000"/>
                <w:kern w:val="0"/>
                <w:sz w:val="20"/>
                <w:szCs w:val="20"/>
              </w:rPr>
              <w:t>存放</w:t>
            </w:r>
          </w:p>
          <w:p>
            <w:pPr>
              <w:widowControl/>
              <w:jc w:val="center"/>
              <w:rPr>
                <w:rFonts w:ascii="宋体"/>
                <w:color w:val="000000"/>
                <w:kern w:val="0"/>
                <w:sz w:val="20"/>
                <w:szCs w:val="20"/>
              </w:rPr>
            </w:pPr>
            <w:r>
              <w:rPr>
                <w:rFonts w:hint="eastAsia" w:ascii="宋体" w:hAnsi="宋体"/>
                <w:color w:val="000000"/>
                <w:kern w:val="0"/>
                <w:sz w:val="20"/>
                <w:szCs w:val="20"/>
              </w:rPr>
              <w:t>地点</w:t>
            </w:r>
          </w:p>
        </w:tc>
      </w:tr>
      <w:tr>
        <w:tblPrEx>
          <w:tblCellMar>
            <w:top w:w="0" w:type="dxa"/>
            <w:left w:w="108" w:type="dxa"/>
            <w:bottom w:w="0" w:type="dxa"/>
            <w:right w:w="108" w:type="dxa"/>
          </w:tblCellMar>
        </w:tblPrEx>
        <w:trPr>
          <w:trHeight w:val="306" w:hRule="atLeast"/>
        </w:trPr>
        <w:tc>
          <w:tcPr>
            <w:tcW w:w="1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855" w:type="dxa"/>
            <w:tcBorders>
              <w:top w:val="nil"/>
              <w:left w:val="nil"/>
              <w:bottom w:val="single" w:color="auto" w:sz="4" w:space="0"/>
              <w:right w:val="nil"/>
            </w:tcBorders>
            <w:vAlign w:val="center"/>
          </w:tcPr>
          <w:p>
            <w:pPr>
              <w:widowControl/>
              <w:jc w:val="center"/>
              <w:rPr>
                <w:rFonts w:ascii="宋体"/>
                <w:color w:val="000000"/>
                <w:kern w:val="0"/>
                <w:sz w:val="16"/>
                <w:szCs w:val="16"/>
              </w:rPr>
            </w:pPr>
            <w:r>
              <w:rPr>
                <w:rFonts w:hint="eastAsia" w:ascii="宋体" w:hAnsi="宋体"/>
                <w:color w:val="000000"/>
                <w:kern w:val="0"/>
                <w:sz w:val="16"/>
                <w:szCs w:val="16"/>
              </w:rPr>
              <w:t>（万元）</w:t>
            </w:r>
          </w:p>
        </w:tc>
        <w:tc>
          <w:tcPr>
            <w:tcW w:w="713" w:type="dxa"/>
            <w:tcBorders>
              <w:top w:val="nil"/>
              <w:left w:val="single" w:color="auto" w:sz="4" w:space="0"/>
              <w:bottom w:val="single" w:color="auto" w:sz="4" w:space="0"/>
              <w:right w:val="single" w:color="auto" w:sz="4" w:space="0"/>
            </w:tcBorders>
            <w:vAlign w:val="center"/>
          </w:tcPr>
          <w:p>
            <w:pPr>
              <w:widowControl/>
              <w:rPr>
                <w:rFonts w:ascii="宋体"/>
                <w:color w:val="000000"/>
                <w:kern w:val="0"/>
                <w:sz w:val="20"/>
                <w:szCs w:val="20"/>
              </w:rPr>
            </w:pPr>
            <w:r>
              <w:rPr>
                <w:rFonts w:hint="eastAsia" w:ascii="宋体" w:hAnsi="宋体"/>
                <w:color w:val="000000"/>
                <w:kern w:val="0"/>
                <w:sz w:val="16"/>
                <w:szCs w:val="16"/>
              </w:rPr>
              <w:t>（台）</w:t>
            </w:r>
          </w:p>
        </w:tc>
        <w:tc>
          <w:tcPr>
            <w:tcW w:w="856" w:type="dxa"/>
            <w:tcBorders>
              <w:top w:val="nil"/>
              <w:left w:val="nil"/>
              <w:bottom w:val="single" w:color="auto" w:sz="4" w:space="0"/>
              <w:right w:val="single" w:color="auto" w:sz="4" w:space="0"/>
            </w:tcBorders>
            <w:vAlign w:val="center"/>
          </w:tcPr>
          <w:p>
            <w:pPr>
              <w:widowControl/>
              <w:rPr>
                <w:rFonts w:ascii="宋体"/>
                <w:color w:val="000000"/>
                <w:kern w:val="0"/>
                <w:sz w:val="20"/>
                <w:szCs w:val="20"/>
              </w:rPr>
            </w:pPr>
            <w:r>
              <w:rPr>
                <w:rFonts w:hint="eastAsia" w:ascii="宋体" w:hAnsi="宋体"/>
                <w:color w:val="000000"/>
                <w:kern w:val="0"/>
                <w:sz w:val="16"/>
                <w:szCs w:val="16"/>
              </w:rPr>
              <w:t>（万元）</w:t>
            </w:r>
          </w:p>
        </w:tc>
        <w:tc>
          <w:tcPr>
            <w:tcW w:w="14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 w:val="16"/>
                <w:szCs w:val="16"/>
              </w:rPr>
            </w:pPr>
            <w:r>
              <w:rPr>
                <w:rFonts w:hint="eastAsia" w:ascii="宋体" w:hAnsi="宋体"/>
                <w:color w:val="000000"/>
                <w:kern w:val="0"/>
                <w:sz w:val="16"/>
                <w:szCs w:val="16"/>
              </w:rPr>
              <w:t>（万元）</w:t>
            </w: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6"/>
                <w:szCs w:val="16"/>
              </w:rPr>
            </w:pPr>
            <w:r>
              <w:rPr>
                <w:rFonts w:hint="eastAsia" w:ascii="宋体" w:hAnsi="宋体"/>
                <w:color w:val="000000"/>
                <w:kern w:val="0"/>
                <w:sz w:val="16"/>
                <w:szCs w:val="16"/>
              </w:rPr>
              <w:t>（台）</w:t>
            </w: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 w:val="16"/>
                <w:szCs w:val="16"/>
              </w:rPr>
            </w:pPr>
            <w:r>
              <w:rPr>
                <w:rFonts w:hint="eastAsia" w:ascii="宋体" w:hAnsi="宋体"/>
                <w:color w:val="000000"/>
                <w:kern w:val="0"/>
                <w:sz w:val="16"/>
                <w:szCs w:val="16"/>
              </w:rPr>
              <w:t>（万元）</w:t>
            </w:r>
          </w:p>
        </w:tc>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4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1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8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spacing w:val="-35"/>
                <w:kern w:val="0"/>
                <w:szCs w:val="21"/>
              </w:rPr>
              <w:t>　</w:t>
            </w: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r>
              <w:rPr>
                <w:rFonts w:hint="eastAsia" w:ascii="宋体" w:hAnsi="宋体"/>
                <w:color w:val="000000"/>
                <w:spacing w:val="-35"/>
                <w:kern w:val="0"/>
                <w:szCs w:val="21"/>
              </w:rPr>
              <w:t>　</w:t>
            </w: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spacing w:val="-35"/>
                <w:kern w:val="0"/>
                <w:szCs w:val="21"/>
              </w:rPr>
              <w:t>　</w:t>
            </w: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spacing w:val="-35"/>
                <w:kern w:val="0"/>
                <w:szCs w:val="21"/>
              </w:rPr>
              <w:t>　</w:t>
            </w: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hAnsi="宋体"/>
                <w:color w:val="000000"/>
                <w:spacing w:val="-35"/>
                <w:kern w:val="0"/>
                <w:szCs w:val="21"/>
              </w:rPr>
              <w:t>　</w:t>
            </w: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r>
        <w:tblPrEx>
          <w:tblCellMar>
            <w:top w:w="0" w:type="dxa"/>
            <w:left w:w="108" w:type="dxa"/>
            <w:bottom w:w="0" w:type="dxa"/>
            <w:right w:w="108" w:type="dxa"/>
          </w:tblCellMar>
        </w:tblPrEx>
        <w:trPr>
          <w:trHeight w:val="578" w:hRule="atLeast"/>
        </w:trPr>
        <w:tc>
          <w:tcPr>
            <w:tcW w:w="1678"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713"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left"/>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nil"/>
            </w:tcBorders>
            <w:vAlign w:val="center"/>
          </w:tcPr>
          <w:p>
            <w:pPr>
              <w:widowControl/>
              <w:jc w:val="center"/>
              <w:rPr>
                <w:rFonts w:ascii="宋体"/>
                <w:color w:val="000000"/>
                <w:kern w:val="0"/>
                <w:szCs w:val="21"/>
              </w:rPr>
            </w:pPr>
          </w:p>
        </w:tc>
        <w:tc>
          <w:tcPr>
            <w:tcW w:w="712"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p>
        </w:tc>
        <w:tc>
          <w:tcPr>
            <w:tcW w:w="856"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998"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427"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1141"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c>
          <w:tcPr>
            <w:tcW w:w="855" w:type="dxa"/>
            <w:tcBorders>
              <w:top w:val="nil"/>
              <w:left w:val="nil"/>
              <w:bottom w:val="single" w:color="auto" w:sz="4" w:space="0"/>
              <w:right w:val="single" w:color="auto" w:sz="4" w:space="0"/>
            </w:tcBorders>
            <w:vAlign w:val="center"/>
          </w:tcPr>
          <w:p>
            <w:pPr>
              <w:widowControl/>
              <w:jc w:val="center"/>
              <w:rPr>
                <w:rFonts w:ascii="宋体"/>
                <w:color w:val="000000"/>
                <w:kern w:val="0"/>
                <w:szCs w:val="21"/>
              </w:rPr>
            </w:pPr>
          </w:p>
        </w:tc>
      </w:tr>
    </w:tbl>
    <w:p>
      <w:pPr>
        <w:adjustRightInd w:val="0"/>
        <w:snapToGrid w:val="0"/>
        <w:spacing w:line="480" w:lineRule="exact"/>
        <w:rPr>
          <w:rFonts w:ascii="宋体" w:hAnsi="宋体"/>
          <w:sz w:val="24"/>
        </w:rPr>
      </w:pPr>
    </w:p>
    <w:p>
      <w:pPr>
        <w:adjustRightInd w:val="0"/>
        <w:snapToGrid w:val="0"/>
        <w:spacing w:line="480" w:lineRule="exact"/>
        <w:ind w:firstLine="480" w:firstLineChars="200"/>
        <w:rPr>
          <w:rFonts w:ascii="宋体" w:hAnsi="宋体"/>
          <w:sz w:val="24"/>
        </w:rPr>
      </w:pPr>
    </w:p>
    <w:p>
      <w:pPr>
        <w:spacing w:line="480" w:lineRule="exact"/>
        <w:rPr>
          <w:rFonts w:ascii="宋体" w:hAnsi="宋体"/>
          <w:sz w:val="24"/>
          <w:szCs w:val="32"/>
        </w:rPr>
        <w:sectPr>
          <w:pgSz w:w="16838" w:h="11906" w:orient="landscape"/>
          <w:pgMar w:top="1587" w:right="1440" w:bottom="1587" w:left="1440" w:header="851" w:footer="992" w:gutter="0"/>
          <w:cols w:space="720" w:num="1"/>
          <w:docGrid w:type="lines" w:linePitch="396" w:charSpace="0"/>
        </w:sectPr>
      </w:pPr>
    </w:p>
    <w:p>
      <w:pPr>
        <w:pStyle w:val="2"/>
      </w:pPr>
      <w:bookmarkStart w:id="52" w:name="_Toc46402434"/>
      <w:bookmarkStart w:id="53" w:name="_Toc12078"/>
      <w:bookmarkStart w:id="54" w:name="_Toc9428"/>
      <w:bookmarkStart w:id="55" w:name="_Toc4890"/>
      <w:bookmarkStart w:id="56" w:name="_Toc28634"/>
      <w:bookmarkStart w:id="57" w:name="_Toc308530298"/>
      <w:bookmarkStart w:id="58" w:name="_Toc308528390"/>
      <w:bookmarkStart w:id="59" w:name="_Toc308515067"/>
      <w:r>
        <w:rPr>
          <w:rFonts w:hint="eastAsia"/>
        </w:rPr>
        <w:t>衢州学院实验室工作档案管理制度</w:t>
      </w:r>
      <w:bookmarkEnd w:id="52"/>
      <w:bookmarkEnd w:id="53"/>
      <w:bookmarkEnd w:id="54"/>
      <w:bookmarkEnd w:id="55"/>
      <w:bookmarkEnd w:id="56"/>
      <w:bookmarkEnd w:id="57"/>
      <w:bookmarkEnd w:id="58"/>
      <w:bookmarkEnd w:id="59"/>
    </w:p>
    <w:p/>
    <w:p>
      <w:pPr>
        <w:spacing w:line="480" w:lineRule="exact"/>
        <w:rPr>
          <w:rFonts w:ascii="宋体" w:hAnsi="宋体"/>
          <w:sz w:val="24"/>
        </w:rPr>
      </w:pPr>
      <w:r>
        <w:rPr>
          <w:rFonts w:hint="eastAsia" w:ascii="宋体" w:hAnsi="宋体"/>
          <w:sz w:val="24"/>
        </w:rPr>
        <w:t xml:space="preserve">    为加强学校实验室建设，规范实验室管理，提高实验室功能和效率，根据学校档案管理的有关规定,制定本制度。</w:t>
      </w:r>
    </w:p>
    <w:p>
      <w:pPr>
        <w:spacing w:line="480" w:lineRule="exact"/>
        <w:ind w:firstLine="480" w:firstLineChars="200"/>
        <w:rPr>
          <w:rFonts w:ascii="黑体" w:hAnsi="黑体" w:eastAsia="黑体" w:cs="黑体"/>
          <w:bCs/>
          <w:color w:val="000000"/>
          <w:sz w:val="24"/>
        </w:rPr>
      </w:pPr>
      <w:r>
        <w:rPr>
          <w:rFonts w:hint="eastAsia" w:ascii="黑体" w:hAnsi="黑体" w:eastAsia="黑体" w:cs="黑体"/>
          <w:bCs/>
          <w:color w:val="000000"/>
          <w:sz w:val="24"/>
        </w:rPr>
        <w:t>一、实验室工作档案内容</w:t>
      </w:r>
    </w:p>
    <w:p>
      <w:pPr>
        <w:spacing w:line="480" w:lineRule="exact"/>
        <w:ind w:firstLine="480" w:firstLineChars="200"/>
        <w:rPr>
          <w:rFonts w:ascii="宋体" w:hAnsi="宋体"/>
          <w:color w:val="000000"/>
          <w:sz w:val="24"/>
        </w:rPr>
      </w:pPr>
      <w:r>
        <w:rPr>
          <w:rFonts w:ascii="宋体" w:hAnsi="宋体"/>
          <w:bCs/>
          <w:color w:val="000000"/>
          <w:sz w:val="24"/>
        </w:rPr>
        <w:t>1</w:t>
      </w:r>
      <w:r>
        <w:rPr>
          <w:rFonts w:hint="eastAsia" w:ascii="宋体" w:hAnsi="宋体"/>
          <w:bCs/>
          <w:color w:val="000000"/>
          <w:sz w:val="24"/>
        </w:rPr>
        <w:t>.实验室工作文件：</w:t>
      </w:r>
      <w:r>
        <w:rPr>
          <w:rFonts w:hint="eastAsia" w:ascii="宋体" w:hAnsi="宋体"/>
          <w:color w:val="000000"/>
          <w:sz w:val="24"/>
        </w:rPr>
        <w:t>国家及教育部和省、市有关实验室工作的法规文件，学校有关实验室建设、发展规划与改革的文件和资料。</w:t>
      </w:r>
    </w:p>
    <w:p>
      <w:pPr>
        <w:spacing w:line="480" w:lineRule="exact"/>
        <w:ind w:firstLine="480" w:firstLineChars="200"/>
        <w:rPr>
          <w:rFonts w:ascii="宋体" w:hAnsi="宋体"/>
          <w:color w:val="000000"/>
          <w:sz w:val="24"/>
        </w:rPr>
      </w:pPr>
      <w:r>
        <w:rPr>
          <w:rFonts w:ascii="宋体" w:hAnsi="宋体"/>
          <w:bCs/>
          <w:color w:val="000000"/>
          <w:sz w:val="24"/>
        </w:rPr>
        <w:t>2</w:t>
      </w:r>
      <w:r>
        <w:rPr>
          <w:rFonts w:hint="eastAsia" w:ascii="宋体" w:hAnsi="宋体"/>
          <w:bCs/>
          <w:color w:val="000000"/>
          <w:sz w:val="24"/>
        </w:rPr>
        <w:t>.实验室概况：</w:t>
      </w:r>
      <w:r>
        <w:rPr>
          <w:rFonts w:hint="eastAsia" w:ascii="宋体" w:hAnsi="宋体"/>
          <w:color w:val="000000"/>
          <w:sz w:val="24"/>
        </w:rPr>
        <w:t>工作人员情况及工作任务，实验教学用房及辅助用房面积及改造等资料。</w:t>
      </w:r>
    </w:p>
    <w:p>
      <w:pPr>
        <w:spacing w:line="480" w:lineRule="exact"/>
        <w:ind w:firstLine="480" w:firstLineChars="200"/>
        <w:rPr>
          <w:rFonts w:ascii="宋体" w:hAnsi="宋体"/>
          <w:color w:val="000000"/>
          <w:sz w:val="24"/>
        </w:rPr>
      </w:pPr>
      <w:r>
        <w:rPr>
          <w:rFonts w:ascii="宋体" w:hAnsi="宋体"/>
          <w:bCs/>
          <w:color w:val="000000"/>
          <w:sz w:val="24"/>
        </w:rPr>
        <w:t>3</w:t>
      </w:r>
      <w:r>
        <w:rPr>
          <w:rFonts w:hint="eastAsia" w:ascii="宋体" w:hAnsi="宋体"/>
          <w:bCs/>
          <w:color w:val="000000"/>
          <w:sz w:val="24"/>
        </w:rPr>
        <w:t>.实验室任务：</w:t>
      </w:r>
      <w:r>
        <w:rPr>
          <w:rFonts w:hint="eastAsia" w:ascii="宋体" w:hAnsi="宋体"/>
          <w:color w:val="000000"/>
          <w:sz w:val="24"/>
        </w:rPr>
        <w:t>实验教学大纲，教学计划，实验课程及项目，实验指导书，实验教材，每学期实验教学任务及实验开出记录；实验项目卡片，实验教学课表及实验项目统计,实验教学的考试或考核办法及历年试题、实验报告、预习报告及学生实验成绩等有关记录，承担的科研和社会服务项目及工作量。</w:t>
      </w:r>
    </w:p>
    <w:p>
      <w:pPr>
        <w:spacing w:line="480" w:lineRule="exact"/>
        <w:ind w:firstLine="480" w:firstLineChars="200"/>
        <w:rPr>
          <w:rFonts w:ascii="宋体" w:hAnsi="宋体"/>
          <w:color w:val="000000"/>
          <w:sz w:val="24"/>
        </w:rPr>
      </w:pPr>
      <w:r>
        <w:rPr>
          <w:rFonts w:ascii="宋体" w:hAnsi="宋体"/>
          <w:bCs/>
          <w:color w:val="000000"/>
          <w:sz w:val="24"/>
        </w:rPr>
        <w:t>4</w:t>
      </w:r>
      <w:r>
        <w:rPr>
          <w:rFonts w:hint="eastAsia" w:ascii="宋体" w:hAnsi="宋体"/>
          <w:bCs/>
          <w:color w:val="000000"/>
          <w:sz w:val="24"/>
        </w:rPr>
        <w:t>.实验室仪器设备：</w:t>
      </w:r>
      <w:r>
        <w:rPr>
          <w:rFonts w:ascii="宋体" w:hAnsi="宋体"/>
          <w:bCs/>
          <w:color w:val="000000"/>
          <w:sz w:val="24"/>
        </w:rPr>
        <w:t xml:space="preserve"> </w:t>
      </w:r>
      <w:r>
        <w:rPr>
          <w:rFonts w:hint="eastAsia" w:ascii="宋体" w:hAnsi="宋体"/>
          <w:color w:val="000000"/>
          <w:sz w:val="24"/>
        </w:rPr>
        <w:t>仪器设备的固定资产总账、低值耐用品、易耗品明细账，材料领用单，设备维修记录及报废情况、技术资料等；大型精密仪器设备的论证报告、订货合同、安装验收报告、损坏维修记录、使用记录、装箱单、说明书、保修卡等。</w:t>
      </w:r>
    </w:p>
    <w:p>
      <w:pPr>
        <w:spacing w:line="480" w:lineRule="exact"/>
        <w:ind w:firstLine="480" w:firstLineChars="200"/>
        <w:rPr>
          <w:rFonts w:ascii="宋体" w:hAnsi="宋体"/>
          <w:color w:val="000000"/>
          <w:sz w:val="24"/>
        </w:rPr>
      </w:pPr>
      <w:r>
        <w:rPr>
          <w:rFonts w:ascii="宋体" w:hAnsi="宋体"/>
          <w:bCs/>
          <w:color w:val="000000"/>
          <w:sz w:val="24"/>
        </w:rPr>
        <w:t>5</w:t>
      </w:r>
      <w:r>
        <w:rPr>
          <w:rFonts w:hint="eastAsia" w:ascii="宋体" w:hAnsi="宋体"/>
          <w:bCs/>
          <w:color w:val="000000"/>
          <w:sz w:val="24"/>
        </w:rPr>
        <w:t>.实验室管理制度和工作记录：</w:t>
      </w:r>
      <w:r>
        <w:rPr>
          <w:rFonts w:hint="eastAsia" w:ascii="宋体" w:hAnsi="宋体"/>
          <w:color w:val="000000"/>
          <w:sz w:val="24"/>
        </w:rPr>
        <w:t>实验室人员岗位职责，分工细则及管理制度，实验室专职人员工作日志，实验室研究活动记录、会议记录，人员考核材料，人员晋升记录，培训计划及实施情况，工作人员变更情况；实验室工作计划，研究论文、成果鉴定证书等。</w:t>
      </w:r>
    </w:p>
    <w:p>
      <w:pPr>
        <w:spacing w:line="480" w:lineRule="exact"/>
        <w:ind w:firstLine="480" w:firstLineChars="200"/>
        <w:rPr>
          <w:rFonts w:ascii="宋体" w:hAnsi="宋体"/>
          <w:color w:val="000000"/>
          <w:sz w:val="24"/>
        </w:rPr>
      </w:pPr>
      <w:r>
        <w:rPr>
          <w:rFonts w:ascii="宋体" w:hAnsi="宋体"/>
          <w:bCs/>
          <w:color w:val="000000"/>
          <w:sz w:val="24"/>
        </w:rPr>
        <w:t>6</w:t>
      </w:r>
      <w:r>
        <w:rPr>
          <w:rFonts w:hint="eastAsia" w:ascii="宋体" w:hAnsi="宋体"/>
          <w:bCs/>
          <w:color w:val="000000"/>
          <w:sz w:val="24"/>
        </w:rPr>
        <w:t>.实验室经费使用记录：</w:t>
      </w:r>
      <w:r>
        <w:rPr>
          <w:rFonts w:hint="eastAsia" w:ascii="宋体" w:hAnsi="宋体"/>
          <w:color w:val="000000"/>
          <w:sz w:val="24"/>
        </w:rPr>
        <w:t>实验室年度仪器设备购置经费申请立项报告，购买仪器设备的清单，仪器设备维修、实验室建设等经费支出情况统计，实验室年度科研项目、对外培训、测试、技术协作、劳务等收入情况统计等。</w:t>
      </w:r>
    </w:p>
    <w:p>
      <w:pPr>
        <w:spacing w:line="480" w:lineRule="exact"/>
        <w:ind w:firstLine="480" w:firstLineChars="200"/>
        <w:rPr>
          <w:rFonts w:ascii="宋体" w:hAnsi="宋体"/>
          <w:bCs/>
          <w:color w:val="000000"/>
          <w:sz w:val="24"/>
        </w:rPr>
      </w:pPr>
      <w:r>
        <w:rPr>
          <w:rFonts w:ascii="宋体" w:hAnsi="宋体"/>
          <w:bCs/>
          <w:color w:val="000000"/>
          <w:sz w:val="24"/>
        </w:rPr>
        <w:t>7</w:t>
      </w:r>
      <w:r>
        <w:rPr>
          <w:rFonts w:hint="eastAsia" w:ascii="宋体" w:hAnsi="宋体"/>
          <w:bCs/>
          <w:color w:val="000000"/>
          <w:sz w:val="24"/>
        </w:rPr>
        <w:t>.实验室每年上报的各种统计报表。</w:t>
      </w:r>
    </w:p>
    <w:p>
      <w:pPr>
        <w:spacing w:line="480" w:lineRule="exact"/>
        <w:ind w:firstLine="480" w:firstLineChars="200"/>
        <w:rPr>
          <w:rFonts w:ascii="宋体" w:hAnsi="宋体"/>
          <w:color w:val="000000"/>
          <w:sz w:val="24"/>
        </w:rPr>
      </w:pPr>
      <w:r>
        <w:rPr>
          <w:rFonts w:ascii="宋体" w:hAnsi="宋体"/>
          <w:bCs/>
          <w:color w:val="000000"/>
          <w:sz w:val="24"/>
        </w:rPr>
        <w:t>8</w:t>
      </w:r>
      <w:r>
        <w:rPr>
          <w:rFonts w:hint="eastAsia" w:ascii="宋体" w:hAnsi="宋体"/>
          <w:bCs/>
          <w:color w:val="000000"/>
          <w:sz w:val="24"/>
        </w:rPr>
        <w:t>.其他有保存价值的材料</w:t>
      </w:r>
      <w:r>
        <w:rPr>
          <w:rFonts w:hint="eastAsia" w:ascii="宋体" w:hAnsi="宋体"/>
          <w:color w:val="000000"/>
          <w:sz w:val="24"/>
        </w:rPr>
        <w:t>（照片、底片、录音带、录像带等）。</w:t>
      </w:r>
      <w:r>
        <w:rPr>
          <w:rFonts w:ascii="宋体" w:hAnsi="宋体"/>
          <w:color w:val="000000"/>
          <w:sz w:val="24"/>
        </w:rPr>
        <w:t xml:space="preserve">                       </w:t>
      </w:r>
    </w:p>
    <w:p>
      <w:pPr>
        <w:spacing w:line="480" w:lineRule="exact"/>
        <w:ind w:firstLine="480" w:firstLineChars="200"/>
        <w:rPr>
          <w:rFonts w:ascii="黑体" w:hAnsi="黑体" w:eastAsia="黑体" w:cs="黑体"/>
          <w:bCs/>
          <w:color w:val="000000"/>
          <w:sz w:val="24"/>
        </w:rPr>
      </w:pPr>
      <w:r>
        <w:rPr>
          <w:rFonts w:hint="eastAsia" w:ascii="黑体" w:hAnsi="黑体" w:eastAsia="黑体" w:cs="黑体"/>
          <w:bCs/>
          <w:color w:val="000000"/>
          <w:sz w:val="24"/>
        </w:rPr>
        <w:t>二、实验室工作档案管理</w:t>
      </w:r>
    </w:p>
    <w:p>
      <w:pPr>
        <w:spacing w:line="48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.实验室档案管理是实验室工作中的一项重要内容，实验室管理人员要增强档案意识，及时收集档案资料，充实档案内容，并逐年积累严加保管。每学期末，实验管理人员做好本室档案汇总、整理及上报工作。</w:t>
      </w:r>
    </w:p>
    <w:p>
      <w:pPr>
        <w:spacing w:line="480" w:lineRule="exac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档案管理应在学校综合档案室指导下，各分院（中心）确定专人负责此项工作，分院（中心）领导要认真负责档案管理监督检查工作。实验室与设备管理处为学校实验室工作档案的业务主管部门，负责指导实验室管理人员做好档案管理工作。</w:t>
      </w:r>
    </w:p>
    <w:p>
      <w:pPr>
        <w:spacing w:line="480" w:lineRule="exact"/>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.各单位要定期组织人员进行档案统计整理、编目、立卷、归档。</w:t>
      </w:r>
      <w:r>
        <w:rPr>
          <w:rFonts w:ascii="宋体" w:hAnsi="宋体"/>
          <w:color w:val="000000"/>
          <w:sz w:val="24"/>
        </w:rPr>
        <w:t xml:space="preserve">  </w:t>
      </w:r>
    </w:p>
    <w:p>
      <w:pPr>
        <w:spacing w:line="480" w:lineRule="exact"/>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.实验室档案材料中属学校档案室建档的材料，由实验室集中统一上交档案室，其余材料归存于各实验室，各实验室要有专人保管。</w:t>
      </w:r>
    </w:p>
    <w:p>
      <w:pPr>
        <w:spacing w:line="480" w:lineRule="exact"/>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.实验室档案管理要做好保密工作，不该公开或暂时不该公开的材料，各实验室要妥善保管。</w:t>
      </w:r>
    </w:p>
    <w:p>
      <w:pPr>
        <w:spacing w:line="480" w:lineRule="exact"/>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.严格实验室档案借阅手续，单位或个人因工作需要查阅或借阅档案资料，均按学校档案管理的有关规定办理查阅或借用手续，并按时归还。实验室管理人员工作变动时，必须及时办理档案移交手续。</w:t>
      </w:r>
    </w:p>
    <w:p/>
    <w:p/>
    <w:p>
      <w:pPr>
        <w:rPr>
          <w:rStyle w:val="19"/>
          <w:rFonts w:ascii="宋体" w:hAnsi="仿宋" w:cs="Tahoma"/>
          <w:b w:val="0"/>
          <w:sz w:val="24"/>
        </w:rPr>
      </w:pPr>
    </w:p>
    <w:p>
      <w:pPr>
        <w:rPr>
          <w:rStyle w:val="19"/>
          <w:rFonts w:ascii="宋体" w:hAnsi="仿宋" w:cs="Tahoma"/>
          <w:b w:val="0"/>
          <w:sz w:val="24"/>
        </w:rPr>
      </w:pPr>
    </w:p>
    <w:p>
      <w:pP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adjustRightInd w:val="0"/>
        <w:snapToGrid w:val="0"/>
        <w:spacing w:line="480" w:lineRule="exact"/>
        <w:jc w:val="center"/>
        <w:rPr>
          <w:rStyle w:val="19"/>
          <w:rFonts w:ascii="宋体" w:hAnsi="仿宋" w:cs="Tahoma"/>
          <w:b w:val="0"/>
          <w:sz w:val="24"/>
        </w:rPr>
      </w:pPr>
    </w:p>
    <w:p>
      <w:pPr>
        <w:widowControl/>
        <w:jc w:val="left"/>
        <w:rPr>
          <w:rStyle w:val="19"/>
          <w:rFonts w:ascii="宋体" w:hAnsi="仿宋" w:cs="Tahoma"/>
          <w:b w:val="0"/>
          <w:sz w:val="24"/>
        </w:rPr>
      </w:pPr>
      <w:r>
        <w:rPr>
          <w:rStyle w:val="19"/>
          <w:rFonts w:ascii="宋体" w:hAnsi="仿宋" w:cs="Tahoma"/>
          <w:b w:val="0"/>
          <w:sz w:val="24"/>
        </w:rPr>
        <w:br w:type="page"/>
      </w:r>
    </w:p>
    <w:p>
      <w:pPr>
        <w:pStyle w:val="2"/>
        <w:rPr>
          <w:sz w:val="40"/>
        </w:rPr>
      </w:pPr>
      <w:bookmarkStart w:id="60" w:name="_Toc21375"/>
      <w:bookmarkStart w:id="61" w:name="_Toc26612"/>
      <w:bookmarkStart w:id="62" w:name="_Toc12765"/>
      <w:bookmarkStart w:id="63" w:name="_Toc16974"/>
      <w:bookmarkStart w:id="64" w:name="_Toc46402435"/>
      <w:r>
        <w:rPr>
          <w:rFonts w:hint="eastAsia"/>
          <w:sz w:val="40"/>
        </w:rPr>
        <w:t>衢州学院“十三五”实验室和实训基地建设规划</w:t>
      </w:r>
      <w:bookmarkEnd w:id="60"/>
      <w:bookmarkEnd w:id="61"/>
      <w:bookmarkEnd w:id="62"/>
      <w:bookmarkEnd w:id="63"/>
      <w:bookmarkEnd w:id="64"/>
    </w:p>
    <w:p>
      <w:pPr>
        <w:adjustRightInd w:val="0"/>
        <w:snapToGrid w:val="0"/>
        <w:spacing w:before="156" w:beforeLines="50" w:line="480" w:lineRule="exact"/>
        <w:ind w:firstLine="640"/>
        <w:jc w:val="center"/>
        <w:rPr>
          <w:rFonts w:ascii="黑体" w:hAnsi="黑体" w:eastAsia="黑体" w:cs="黑体"/>
          <w:kern w:val="0"/>
          <w:sz w:val="44"/>
          <w:szCs w:val="44"/>
        </w:rPr>
      </w:pPr>
      <w:bookmarkStart w:id="65" w:name="_Toc18065"/>
      <w:bookmarkStart w:id="66" w:name="_Toc7480"/>
      <w:r>
        <w:rPr>
          <w:rFonts w:hint="eastAsia" w:ascii="黑体" w:hAnsi="黑体" w:eastAsia="黑体" w:cs="黑体"/>
          <w:kern w:val="0"/>
          <w:sz w:val="44"/>
          <w:szCs w:val="44"/>
        </w:rPr>
        <w:t>（2016—2020年）</w:t>
      </w:r>
      <w:bookmarkEnd w:id="65"/>
      <w:bookmarkEnd w:id="66"/>
    </w:p>
    <w:p>
      <w:pPr>
        <w:adjustRightInd w:val="0"/>
        <w:snapToGrid w:val="0"/>
        <w:spacing w:line="480" w:lineRule="exact"/>
        <w:ind w:firstLine="640"/>
        <w:jc w:val="center"/>
        <w:rPr>
          <w:rFonts w:ascii="黑体" w:hAnsi="黑体" w:eastAsia="黑体" w:cs="黑体"/>
          <w:kern w:val="0"/>
          <w:sz w:val="44"/>
          <w:szCs w:val="44"/>
        </w:rPr>
      </w:pPr>
    </w:p>
    <w:p>
      <w:pPr>
        <w:adjustRightInd w:val="0"/>
        <w:snapToGrid w:val="0"/>
        <w:spacing w:line="480" w:lineRule="exact"/>
        <w:ind w:firstLine="640"/>
        <w:rPr>
          <w:rFonts w:ascii="宋体" w:hAnsi="宋体"/>
          <w:kern w:val="0"/>
          <w:sz w:val="24"/>
          <w:szCs w:val="24"/>
        </w:rPr>
      </w:pPr>
      <w:r>
        <w:rPr>
          <w:rFonts w:hint="eastAsia" w:ascii="宋体" w:hAnsi="宋体"/>
          <w:kern w:val="0"/>
          <w:sz w:val="24"/>
          <w:szCs w:val="24"/>
        </w:rPr>
        <w:t>高校实验室和实训基地建设是应用型本科院校建设的一个重要组成部分，是高校人才培养和科学研究的重要基地，承担着培养学生创新创业意识、提高学生实践动手能力和协同创新能力的重要任务，在应用型人才培养过程中发挥着不可替代的作用。为进一步促进教学质量不断提高，科学研究向深度和广度进步，推动学校应用型试点示范建设工作，全面实现校校、校企、校地协同育人的良好局面，现根据《衢州学院“十三五”发展规划纲要（2016—2020年）》《衢州学院加强应用型建设实施方案》《衢州学院深化创新创业教育改革实施方案》等文件精神，确保学校“十三五”发展目标的圆满实现，特制定本建设规划。</w:t>
      </w:r>
    </w:p>
    <w:p>
      <w:pPr>
        <w:adjustRightInd w:val="0"/>
        <w:snapToGrid w:val="0"/>
        <w:spacing w:line="480" w:lineRule="exact"/>
        <w:ind w:firstLine="643"/>
        <w:rPr>
          <w:rFonts w:ascii="黑体" w:hAnsi="黑体" w:eastAsia="黑体" w:cs="黑体"/>
          <w:kern w:val="0"/>
          <w:sz w:val="24"/>
          <w:szCs w:val="24"/>
        </w:rPr>
      </w:pPr>
      <w:r>
        <w:rPr>
          <w:rFonts w:hint="eastAsia" w:ascii="黑体" w:hAnsi="黑体" w:eastAsia="黑体" w:cs="黑体"/>
          <w:kern w:val="0"/>
          <w:sz w:val="24"/>
          <w:szCs w:val="24"/>
        </w:rPr>
        <w:t>一、发展背景</w:t>
      </w:r>
    </w:p>
    <w:p>
      <w:pPr>
        <w:adjustRightInd w:val="0"/>
        <w:snapToGrid w:val="0"/>
        <w:spacing w:line="480" w:lineRule="exact"/>
        <w:ind w:firstLine="640"/>
        <w:rPr>
          <w:rFonts w:ascii="宋体" w:hAnsi="宋体"/>
          <w:b/>
          <w:bCs/>
          <w:kern w:val="0"/>
          <w:sz w:val="24"/>
          <w:szCs w:val="24"/>
        </w:rPr>
      </w:pPr>
      <w:r>
        <w:rPr>
          <w:rFonts w:hint="eastAsia" w:ascii="宋体" w:hAnsi="宋体"/>
          <w:b/>
          <w:bCs/>
          <w:kern w:val="0"/>
          <w:sz w:val="24"/>
          <w:szCs w:val="24"/>
        </w:rPr>
        <w:t>（一）“十二五”期间发展状况</w:t>
      </w:r>
    </w:p>
    <w:p>
      <w:pPr>
        <w:adjustRightInd w:val="0"/>
        <w:snapToGrid w:val="0"/>
        <w:spacing w:line="480" w:lineRule="exact"/>
        <w:ind w:firstLine="640"/>
        <w:rPr>
          <w:rFonts w:ascii="宋体" w:hAnsi="宋体"/>
          <w:kern w:val="0"/>
          <w:sz w:val="24"/>
          <w:szCs w:val="24"/>
        </w:rPr>
      </w:pPr>
      <w:r>
        <w:rPr>
          <w:rFonts w:hint="eastAsia" w:ascii="宋体" w:hAnsi="宋体"/>
          <w:kern w:val="0"/>
          <w:sz w:val="24"/>
          <w:szCs w:val="24"/>
        </w:rPr>
        <w:t>至“十二五”末，学校现有实验、实习（实训）场所用房面积64900平方米，教学科研仪器设备总值11001余万元。建有中心实验室22个、实习（实训）基地119个、标准化考场126间。拥有省级实验教学示范中心1个、省级虚拟仿真实验教学示范中心1个、省级科技创新平台1个、协同创新研究平台5个、校企共建“嵌入式”实验室2个、市级重点实验室7个，多媒体电化教室座位数9812个、语音实验室座位数324个、教学科研专用计算机2166台。较为圆满地完成了“十二五”期间所确定的各项实验室建设指标。</w:t>
      </w:r>
    </w:p>
    <w:p>
      <w:pPr>
        <w:adjustRightInd w:val="0"/>
        <w:snapToGrid w:val="0"/>
        <w:spacing w:line="480" w:lineRule="exact"/>
        <w:ind w:firstLine="641"/>
        <w:rPr>
          <w:rFonts w:ascii="宋体" w:hAnsi="宋体"/>
          <w:kern w:val="0"/>
          <w:sz w:val="24"/>
          <w:szCs w:val="24"/>
        </w:rPr>
      </w:pPr>
      <w:r>
        <w:rPr>
          <w:rFonts w:hint="eastAsia" w:ascii="宋体" w:hAnsi="宋体"/>
          <w:b/>
          <w:bCs/>
          <w:kern w:val="0"/>
          <w:sz w:val="24"/>
          <w:szCs w:val="24"/>
        </w:rPr>
        <w:t>（二）“十二五”期间存在的主要问题</w:t>
      </w:r>
    </w:p>
    <w:p>
      <w:pPr>
        <w:adjustRightInd w:val="0"/>
        <w:snapToGrid w:val="0"/>
        <w:spacing w:line="480" w:lineRule="exact"/>
        <w:ind w:firstLine="641"/>
        <w:rPr>
          <w:rFonts w:ascii="宋体" w:hAnsi="宋体"/>
          <w:kern w:val="0"/>
          <w:sz w:val="24"/>
          <w:szCs w:val="24"/>
        </w:rPr>
      </w:pPr>
      <w:r>
        <w:rPr>
          <w:rFonts w:hint="eastAsia" w:ascii="宋体" w:hAnsi="宋体"/>
          <w:kern w:val="0"/>
          <w:sz w:val="24"/>
          <w:szCs w:val="24"/>
        </w:rPr>
        <w:t>“十二五”期间尽管各项实验室建设量化指标得到了有效实现，但实验室建设质量与管理水准距应用型本科院校的建设要求还有较大的差距，主要表现在以下几个方面：</w:t>
      </w:r>
    </w:p>
    <w:p>
      <w:pPr>
        <w:adjustRightInd w:val="0"/>
        <w:snapToGrid w:val="0"/>
        <w:spacing w:line="480" w:lineRule="exact"/>
        <w:ind w:firstLine="641"/>
        <w:rPr>
          <w:rFonts w:ascii="宋体" w:hAnsi="宋体"/>
          <w:kern w:val="0"/>
          <w:sz w:val="24"/>
          <w:szCs w:val="24"/>
        </w:rPr>
      </w:pPr>
      <w:r>
        <w:rPr>
          <w:rFonts w:hint="eastAsia" w:ascii="宋体" w:hAnsi="宋体"/>
          <w:kern w:val="0"/>
          <w:sz w:val="24"/>
          <w:szCs w:val="24"/>
        </w:rPr>
        <w:t>1.实验室建设规划的科学性和前瞻性不够，部分项目建设跟不上学科专业发展要求，与地方经济建设主体行业、产业关联度不够；</w:t>
      </w:r>
    </w:p>
    <w:p>
      <w:pPr>
        <w:adjustRightInd w:val="0"/>
        <w:snapToGrid w:val="0"/>
        <w:spacing w:line="480" w:lineRule="exact"/>
        <w:ind w:firstLine="641"/>
        <w:rPr>
          <w:rFonts w:ascii="宋体" w:hAnsi="宋体"/>
          <w:kern w:val="0"/>
          <w:sz w:val="24"/>
          <w:szCs w:val="24"/>
        </w:rPr>
      </w:pPr>
      <w:r>
        <w:rPr>
          <w:rFonts w:hint="eastAsia" w:ascii="宋体" w:hAnsi="宋体"/>
          <w:kern w:val="0"/>
          <w:sz w:val="24"/>
          <w:szCs w:val="24"/>
        </w:rPr>
        <w:t>2.实验室专职人员（技术人员、仪器设备维护维修人员、实验辅助人员）队伍结构不尽合理、人员占比相对不足，高级职称人员比例偏低、整体素质不高；</w:t>
      </w:r>
    </w:p>
    <w:p>
      <w:pPr>
        <w:adjustRightInd w:val="0"/>
        <w:snapToGrid w:val="0"/>
        <w:spacing w:line="480" w:lineRule="exact"/>
        <w:ind w:firstLine="641"/>
        <w:rPr>
          <w:rFonts w:ascii="宋体" w:hAnsi="宋体"/>
          <w:kern w:val="0"/>
          <w:sz w:val="24"/>
          <w:szCs w:val="24"/>
        </w:rPr>
      </w:pPr>
      <w:r>
        <w:rPr>
          <w:rFonts w:hint="eastAsia" w:ascii="宋体" w:hAnsi="宋体"/>
          <w:kern w:val="0"/>
          <w:sz w:val="24"/>
          <w:szCs w:val="24"/>
        </w:rPr>
        <w:t>3.实验室人员服务能力不足，大型教学科研仪器设备的使用率较低，实验室开放共享程度、实验室文化建设、实验室管理水平还需进一步提高。</w:t>
      </w:r>
    </w:p>
    <w:p>
      <w:pPr>
        <w:adjustRightInd w:val="0"/>
        <w:snapToGrid w:val="0"/>
        <w:spacing w:line="480" w:lineRule="exact"/>
        <w:ind w:firstLine="641"/>
        <w:rPr>
          <w:rFonts w:ascii="宋体" w:hAnsi="宋体"/>
          <w:b/>
          <w:bCs/>
          <w:kern w:val="0"/>
          <w:sz w:val="24"/>
          <w:szCs w:val="24"/>
        </w:rPr>
      </w:pPr>
      <w:r>
        <w:rPr>
          <w:rFonts w:hint="eastAsia" w:ascii="宋体" w:hAnsi="宋体"/>
          <w:b/>
          <w:bCs/>
          <w:kern w:val="0"/>
          <w:sz w:val="24"/>
          <w:szCs w:val="24"/>
        </w:rPr>
        <w:t>（三）“十三五”面临的机遇</w:t>
      </w:r>
    </w:p>
    <w:p>
      <w:pPr>
        <w:adjustRightInd w:val="0"/>
        <w:snapToGrid w:val="0"/>
        <w:spacing w:line="480" w:lineRule="exact"/>
        <w:ind w:firstLine="641"/>
        <w:rPr>
          <w:rFonts w:ascii="宋体" w:hAnsi="宋体"/>
          <w:kern w:val="0"/>
          <w:sz w:val="24"/>
          <w:szCs w:val="24"/>
        </w:rPr>
      </w:pPr>
      <w:r>
        <w:rPr>
          <w:rFonts w:hint="eastAsia" w:ascii="宋体" w:hAnsi="宋体"/>
          <w:kern w:val="0"/>
          <w:sz w:val="24"/>
          <w:szCs w:val="24"/>
        </w:rPr>
        <w:t>自2015年12月学校被列入省级应用型本科建设试点示范学校以来，学校应用型本科建设迎来了历史性机遇。根据《衢州市国民经济和社会发展第十三个五年规划纲要》有关“支持衢州学院集聚高端人才创建国家级重点实验室，发挥其在高新技术产业发展和科研项目建设的支撑作用”的政策导向，进一步加强实验室与实训基地建设必将成为新建本科院校在同层次、同类型院校中办出特色、争创一流的关键。这就要求我们必须创建符合地方产业发展特色的高水平实验室研究平台，有重点地选择学科协同创新基地进行市校共建、校企联合培养，以期达到学校教学水平和创新能力双提升的基本目标。</w:t>
      </w:r>
    </w:p>
    <w:p>
      <w:pPr>
        <w:adjustRightInd w:val="0"/>
        <w:snapToGrid w:val="0"/>
        <w:spacing w:line="480" w:lineRule="exact"/>
        <w:ind w:firstLine="643"/>
        <w:rPr>
          <w:rFonts w:ascii="黑体" w:hAnsi="黑体" w:eastAsia="黑体" w:cs="黑体"/>
          <w:kern w:val="0"/>
          <w:sz w:val="24"/>
          <w:szCs w:val="24"/>
        </w:rPr>
      </w:pPr>
      <w:r>
        <w:rPr>
          <w:rFonts w:hint="eastAsia" w:ascii="黑体" w:hAnsi="黑体" w:eastAsia="黑体" w:cs="黑体"/>
          <w:kern w:val="0"/>
          <w:sz w:val="24"/>
          <w:szCs w:val="24"/>
        </w:rPr>
        <w:t>二、指导思想</w:t>
      </w:r>
    </w:p>
    <w:p>
      <w:pPr>
        <w:adjustRightInd w:val="0"/>
        <w:snapToGrid w:val="0"/>
        <w:spacing w:line="480" w:lineRule="exact"/>
        <w:ind w:firstLine="640"/>
        <w:rPr>
          <w:rFonts w:ascii="宋体" w:hAnsi="宋体"/>
          <w:kern w:val="0"/>
          <w:sz w:val="24"/>
          <w:szCs w:val="24"/>
        </w:rPr>
      </w:pPr>
      <w:r>
        <w:rPr>
          <w:rFonts w:hint="eastAsia" w:ascii="宋体" w:hAnsi="宋体"/>
          <w:kern w:val="0"/>
          <w:sz w:val="24"/>
          <w:szCs w:val="24"/>
        </w:rPr>
        <w:t>以党的十八大精神为指导，根据省教育厅、发改委、财政厅《关于积极促进更多本科高校加强应用型建设的指导意见》（浙教高教〔2015〕47号）文件精神，围绕《衢州学院“十三五”发展规划纲要（2016—2020年）》的目标定位，按照“总体规划、分步实施、重点突破、突出特色”的原则，使学校实验室和实训基地建设做到空间合理、功能先进、相互配套、内外互补、虚实结合，提高资源利用效益，加强实验室开放和制度建设，满足应用型人才培养、科学研究、社会服务等需求。</w:t>
      </w:r>
    </w:p>
    <w:p>
      <w:pPr>
        <w:adjustRightInd w:val="0"/>
        <w:snapToGrid w:val="0"/>
        <w:spacing w:line="480" w:lineRule="exact"/>
        <w:ind w:firstLine="643"/>
        <w:rPr>
          <w:rFonts w:ascii="黑体" w:hAnsi="黑体" w:eastAsia="黑体" w:cs="黑体"/>
          <w:kern w:val="0"/>
          <w:sz w:val="24"/>
          <w:szCs w:val="24"/>
        </w:rPr>
      </w:pPr>
      <w:r>
        <w:rPr>
          <w:rFonts w:hint="eastAsia" w:ascii="黑体" w:hAnsi="黑体" w:eastAsia="黑体" w:cs="黑体"/>
          <w:kern w:val="0"/>
          <w:sz w:val="24"/>
          <w:szCs w:val="24"/>
        </w:rPr>
        <w:t>三、发展目标</w:t>
      </w:r>
    </w:p>
    <w:p>
      <w:pPr>
        <w:adjustRightInd w:val="0"/>
        <w:snapToGrid w:val="0"/>
        <w:spacing w:line="480" w:lineRule="exact"/>
        <w:ind w:firstLine="640"/>
        <w:rPr>
          <w:rFonts w:ascii="宋体" w:hAnsi="宋体"/>
          <w:kern w:val="0"/>
          <w:sz w:val="24"/>
          <w:szCs w:val="24"/>
        </w:rPr>
      </w:pPr>
      <w:r>
        <w:rPr>
          <w:rFonts w:hint="eastAsia" w:ascii="宋体" w:hAnsi="宋体"/>
          <w:kern w:val="0"/>
          <w:sz w:val="24"/>
          <w:szCs w:val="24"/>
        </w:rPr>
        <w:t>在“十三五”期间，学校将全面加强实验室与实训基地建设设施、设备的投入。创建协同创新平台，推动学校加快向地方性应用型转型，使之成为地方产业培育的基地；拓展工程实训基地，丰富工程训练内容，提升工程训练项目的层次，满足学校工程训练全员化的特色需求；建立与基础实践层、专业实践层、综合实践层以及创新实践层组成多层次、全方位实践教学体系相匹配的教学实验平台；突显省级实验教学示范中心在学校实验室建设和管理中的引领、示范作用，使学校实验室建设更加规范化和标准化。</w:t>
      </w:r>
    </w:p>
    <w:p>
      <w:pPr>
        <w:adjustRightInd w:val="0"/>
        <w:snapToGrid w:val="0"/>
        <w:spacing w:line="480" w:lineRule="exact"/>
        <w:ind w:firstLine="643"/>
        <w:rPr>
          <w:rFonts w:ascii="黑体" w:hAnsi="黑体" w:eastAsia="黑体" w:cs="黑体"/>
          <w:kern w:val="0"/>
          <w:sz w:val="24"/>
          <w:szCs w:val="24"/>
        </w:rPr>
      </w:pPr>
      <w:r>
        <w:rPr>
          <w:rFonts w:hint="eastAsia" w:ascii="黑体" w:hAnsi="黑体" w:eastAsia="黑体" w:cs="黑体"/>
          <w:kern w:val="0"/>
          <w:sz w:val="24"/>
          <w:szCs w:val="24"/>
        </w:rPr>
        <w:t>四、重点工程</w:t>
      </w:r>
    </w:p>
    <w:p>
      <w:pPr>
        <w:adjustRightInd w:val="0"/>
        <w:snapToGrid w:val="0"/>
        <w:spacing w:line="480" w:lineRule="exact"/>
        <w:ind w:firstLine="640"/>
        <w:rPr>
          <w:rFonts w:ascii="宋体" w:hAnsi="宋体"/>
          <w:b/>
          <w:bCs/>
          <w:kern w:val="0"/>
          <w:sz w:val="24"/>
          <w:szCs w:val="24"/>
        </w:rPr>
      </w:pPr>
      <w:r>
        <w:rPr>
          <w:rFonts w:hint="eastAsia" w:ascii="宋体" w:hAnsi="宋体"/>
          <w:b/>
          <w:bCs/>
          <w:kern w:val="0"/>
          <w:sz w:val="24"/>
          <w:szCs w:val="24"/>
        </w:rPr>
        <w:t>（一）协同创新中心综合体创建工程</w:t>
      </w:r>
    </w:p>
    <w:p>
      <w:pPr>
        <w:adjustRightInd w:val="0"/>
        <w:snapToGrid w:val="0"/>
        <w:spacing w:line="480" w:lineRule="exact"/>
        <w:ind w:firstLine="640"/>
        <w:rPr>
          <w:rFonts w:ascii="宋体" w:hAnsi="宋体"/>
          <w:kern w:val="0"/>
          <w:sz w:val="24"/>
          <w:szCs w:val="24"/>
        </w:rPr>
      </w:pPr>
      <w:r>
        <w:rPr>
          <w:rFonts w:hint="eastAsia" w:ascii="宋体" w:hAnsi="宋体"/>
          <w:kern w:val="0"/>
          <w:sz w:val="24"/>
          <w:szCs w:val="24"/>
        </w:rPr>
        <w:t>1.化工新材料研究院建设</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依托清华长三角研究院、中国科学院过程工程研究所、浙江华友钴业股份有限公司、巨化歌瑞新材料有限公司等院所、企业，结合地方发展需要建立化工新材料研究院。该研究院将涵盖特种纸新材料技术研发中心、高分子材料研究所、功能性膜材料研究所、公共分析测试中心及电子化学新材料研究所等七个子研究所。整个工程建筑面积约5000㎡，工程总投资约4000万元，工程建安投资约2000万元。</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2.智能制造技术研究院建设</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依托机械科学研究总院、浙江大学现代工业设计研究所、开山集团等院所企业，整合学校省级一流重点学科以及现有科技创新平台、重点实验室、师资队伍等方面资源建立智能制造技术研究院，其中涵盖智能装备技术研究所、先进制造技术研究所、能源装备技术研究所、智能信息技术研究所、动力装备技术研究所等五个子研究所。整个工程建筑面积约7000㎡，工程总投资约 6000万元，工程建安投资约 3000万元。</w:t>
      </w:r>
    </w:p>
    <w:p>
      <w:pPr>
        <w:adjustRightInd w:val="0"/>
        <w:snapToGrid w:val="0"/>
        <w:spacing w:line="480" w:lineRule="exact"/>
        <w:rPr>
          <w:rFonts w:ascii="宋体" w:hAnsi="宋体"/>
          <w:b/>
          <w:bCs/>
          <w:kern w:val="0"/>
          <w:sz w:val="24"/>
          <w:szCs w:val="24"/>
        </w:rPr>
      </w:pPr>
      <w:r>
        <w:rPr>
          <w:rFonts w:hint="eastAsia" w:ascii="宋体" w:hAnsi="宋体"/>
          <w:b/>
          <w:bCs/>
          <w:kern w:val="0"/>
          <w:sz w:val="24"/>
          <w:szCs w:val="24"/>
        </w:rPr>
        <w:t xml:space="preserve">   （二）工程实训中心扩建工程</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在现有工程实训中心基础上扩建实训厂房，丰富工程训练内容，提升工程训练项目的层次，满足学校工程训练全员化的特色需求。打破传统的专业划分界限，按工业系统认知、传统制造技术、现代制造技术、工业系统控制技术等四个层面建立统一、完整、综合的工程训练体系。全面深化学校创新创业教育改革，创新培养机制，完善培养模式，优化师资队伍，提升实践条件，营造创业氛围。</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到2020年，逐步建立健全课堂教学、自主学习、实战训练、指导帮扶、文化引领融为一体的创新创业教育体系，学生创新创业基础教育受益面达到100%；依托工程实训中心，逐步建成15个左右校企创新创业联合育人基地，建立一支专兼结合的创新创业教育师资队伍，新增10个左右创新创业类社团，每年孵化10-15支创业团队，参加各类创新创业大赛的学生数量和获奖质量有较大突破，形成一批可复制的创新创业示范典型；人才培养质量显著提高，学生的创新精神、创业意识和创新创业能力明显增强，投身创业实践的学生显著增加，毕业生毕业一年后自主创业率达到6%以上，对当地企业和经济社会的贡献度显著提升。</w:t>
      </w:r>
    </w:p>
    <w:p>
      <w:pPr>
        <w:adjustRightInd w:val="0"/>
        <w:snapToGrid w:val="0"/>
        <w:spacing w:line="480" w:lineRule="exact"/>
        <w:rPr>
          <w:rFonts w:ascii="宋体" w:hAnsi="宋体"/>
          <w:b/>
          <w:bCs/>
          <w:kern w:val="0"/>
          <w:sz w:val="24"/>
          <w:szCs w:val="24"/>
        </w:rPr>
      </w:pPr>
      <w:r>
        <w:rPr>
          <w:rFonts w:hint="eastAsia" w:ascii="宋体" w:hAnsi="宋体"/>
          <w:kern w:val="0"/>
          <w:sz w:val="24"/>
          <w:szCs w:val="24"/>
        </w:rPr>
        <w:t xml:space="preserve">    </w:t>
      </w:r>
      <w:r>
        <w:rPr>
          <w:rFonts w:hint="eastAsia" w:ascii="宋体" w:hAnsi="宋体"/>
          <w:b/>
          <w:bCs/>
          <w:kern w:val="0"/>
          <w:sz w:val="24"/>
          <w:szCs w:val="24"/>
        </w:rPr>
        <w:t>（三）实验平台与实践基地建设工程</w:t>
      </w:r>
    </w:p>
    <w:p>
      <w:pPr>
        <w:adjustRightInd w:val="0"/>
        <w:snapToGrid w:val="0"/>
        <w:spacing w:line="480" w:lineRule="exact"/>
        <w:ind w:firstLine="641"/>
        <w:rPr>
          <w:rFonts w:ascii="宋体" w:hAnsi="宋体"/>
          <w:kern w:val="0"/>
          <w:sz w:val="24"/>
          <w:szCs w:val="24"/>
        </w:rPr>
      </w:pPr>
      <w:r>
        <w:rPr>
          <w:rFonts w:hint="eastAsia" w:ascii="宋体" w:hAnsi="宋体"/>
          <w:kern w:val="0"/>
          <w:sz w:val="24"/>
          <w:szCs w:val="24"/>
        </w:rPr>
        <w:t>1．以财政专项为重点，加强实验平台与实践基地项目建设</w:t>
      </w:r>
    </w:p>
    <w:p>
      <w:pPr>
        <w:adjustRightInd w:val="0"/>
        <w:spacing w:line="480" w:lineRule="exact"/>
        <w:ind w:firstLine="641"/>
        <w:rPr>
          <w:rFonts w:ascii="宋体" w:hAnsi="宋体"/>
          <w:kern w:val="0"/>
          <w:sz w:val="24"/>
          <w:szCs w:val="24"/>
        </w:rPr>
      </w:pPr>
      <w:r>
        <w:rPr>
          <w:rFonts w:hint="eastAsia" w:ascii="宋体" w:hAnsi="宋体"/>
          <w:kern w:val="0"/>
          <w:sz w:val="24"/>
          <w:szCs w:val="24"/>
        </w:rPr>
        <w:t>认真组织中央、省财政实验室建设专项项目申报，加强项目建设与管理，确保项目建设资金效益最大化。积极筹措地方财政、社会办学资金，加大校内基础实验室建设、专业实验实训室建设和实习实训基地建设资金投入力度。“十三五”期间，计划申报立项中央、省财政实验室建设项目20项左右，争取财政专项资助资金5000万元以上，计划投入各级各类实验室建设及运行维护校内专项资金2880余万元（见附表）。力争至“十三五”期末，教学科研仪器设备总值从现有的11001余万元增加到16000余万元，生均教学科研仪器设备值增加到2万元以上。</w:t>
      </w:r>
    </w:p>
    <w:p>
      <w:pPr>
        <w:adjustRightInd w:val="0"/>
        <w:spacing w:line="480" w:lineRule="exact"/>
        <w:rPr>
          <w:rFonts w:ascii="宋体" w:hAnsi="宋体"/>
          <w:kern w:val="0"/>
          <w:sz w:val="24"/>
          <w:szCs w:val="24"/>
        </w:rPr>
      </w:pPr>
      <w:r>
        <w:rPr>
          <w:rFonts w:hint="eastAsia" w:ascii="宋体" w:hAnsi="宋体"/>
          <w:kern w:val="0"/>
          <w:sz w:val="24"/>
          <w:szCs w:val="24"/>
        </w:rPr>
        <w:t xml:space="preserve">    附表：衢州学院实验室建设资金投入年度计划表</w:t>
      </w:r>
    </w:p>
    <w:tbl>
      <w:tblPr>
        <w:tblStyle w:val="13"/>
        <w:tblpPr w:leftFromText="180" w:rightFromText="180" w:vertAnchor="page" w:horzAnchor="page" w:tblpX="1822" w:tblpY="6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135"/>
        <w:gridCol w:w="1135"/>
        <w:gridCol w:w="1134"/>
        <w:gridCol w:w="993"/>
        <w:gridCol w:w="99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45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480" w:lineRule="exact"/>
              <w:ind w:left="600" w:hanging="600" w:hangingChars="250"/>
              <w:rPr>
                <w:rFonts w:ascii="宋体" w:hAnsi="宋体"/>
                <w:kern w:val="0"/>
                <w:sz w:val="24"/>
                <w:szCs w:val="24"/>
              </w:rPr>
            </w:pPr>
            <w:r>
              <w:rPr>
                <w:rFonts w:hint="eastAsia" w:ascii="宋体" w:hAnsi="宋体"/>
                <w:kern w:val="0"/>
                <w:sz w:val="24"/>
                <w:szCs w:val="24"/>
              </w:rPr>
              <w:t xml:space="preserve">           年  度    </w:t>
            </w:r>
          </w:p>
          <w:p>
            <w:pPr>
              <w:adjustRightInd w:val="0"/>
              <w:spacing w:line="480" w:lineRule="exact"/>
              <w:ind w:firstLine="240" w:firstLineChars="100"/>
              <w:rPr>
                <w:rFonts w:ascii="宋体" w:hAnsi="宋体"/>
                <w:kern w:val="0"/>
                <w:sz w:val="24"/>
                <w:szCs w:val="24"/>
              </w:rPr>
            </w:pPr>
            <w:r>
              <w:rPr>
                <w:rFonts w:hint="eastAsia" w:ascii="宋体" w:hAnsi="宋体"/>
                <w:kern w:val="0"/>
                <w:sz w:val="24"/>
                <w:szCs w:val="24"/>
              </w:rPr>
              <w:t>类 别</w:t>
            </w:r>
          </w:p>
        </w:tc>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kern w:val="0"/>
                <w:sz w:val="24"/>
                <w:szCs w:val="24"/>
              </w:rPr>
            </w:pPr>
            <w:r>
              <w:rPr>
                <w:rFonts w:hint="eastAsia" w:ascii="宋体" w:hAnsi="宋体"/>
                <w:kern w:val="0"/>
                <w:sz w:val="24"/>
                <w:szCs w:val="24"/>
              </w:rPr>
              <w:t>2016</w:t>
            </w:r>
          </w:p>
        </w:tc>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kern w:val="0"/>
                <w:sz w:val="24"/>
                <w:szCs w:val="24"/>
              </w:rPr>
            </w:pPr>
            <w:r>
              <w:rPr>
                <w:rFonts w:hint="eastAsia" w:ascii="宋体" w:hAnsi="宋体"/>
                <w:kern w:val="0"/>
                <w:sz w:val="24"/>
                <w:szCs w:val="24"/>
              </w:rPr>
              <w:t>2017</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kern w:val="0"/>
                <w:sz w:val="24"/>
                <w:szCs w:val="24"/>
              </w:rPr>
            </w:pPr>
            <w:r>
              <w:rPr>
                <w:rFonts w:hint="eastAsia" w:ascii="宋体" w:hAnsi="宋体"/>
                <w:kern w:val="0"/>
                <w:sz w:val="24"/>
                <w:szCs w:val="24"/>
              </w:rPr>
              <w:t>2018</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kern w:val="0"/>
                <w:sz w:val="24"/>
                <w:szCs w:val="24"/>
              </w:rPr>
            </w:pPr>
            <w:r>
              <w:rPr>
                <w:rFonts w:hint="eastAsia" w:ascii="宋体" w:hAnsi="宋体"/>
                <w:kern w:val="0"/>
                <w:sz w:val="24"/>
                <w:szCs w:val="24"/>
              </w:rPr>
              <w:t>2019</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jc w:val="center"/>
              <w:rPr>
                <w:rFonts w:ascii="宋体" w:hAnsi="宋体"/>
                <w:kern w:val="0"/>
                <w:sz w:val="24"/>
                <w:szCs w:val="24"/>
              </w:rPr>
            </w:pPr>
            <w:r>
              <w:rPr>
                <w:rFonts w:hint="eastAsia" w:ascii="宋体" w:hAnsi="宋体"/>
                <w:kern w:val="0"/>
                <w:sz w:val="24"/>
                <w:szCs w:val="24"/>
              </w:rPr>
              <w:t>2020</w:t>
            </w:r>
          </w:p>
        </w:tc>
        <w:tc>
          <w:tcPr>
            <w:tcW w:w="1105"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ind w:firstLine="240" w:firstLineChars="100"/>
              <w:rPr>
                <w:rFonts w:ascii="宋体" w:hAnsi="宋体"/>
                <w:kern w:val="0"/>
                <w:sz w:val="24"/>
                <w:szCs w:val="24"/>
              </w:rPr>
            </w:pPr>
            <w:r>
              <w:rPr>
                <w:rFonts w:hint="eastAsia" w:ascii="宋体" w:hAnsi="宋体"/>
                <w:kern w:val="0"/>
                <w:sz w:val="24"/>
                <w:szCs w:val="24"/>
              </w:rPr>
              <w:t>合计</w:t>
            </w:r>
          </w:p>
          <w:p>
            <w:pPr>
              <w:adjustRightInd w:val="0"/>
              <w:spacing w:line="480" w:lineRule="exact"/>
              <w:jc w:val="center"/>
              <w:rPr>
                <w:rFonts w:ascii="宋体" w:hAnsi="宋体"/>
                <w:kern w:val="0"/>
                <w:sz w:val="24"/>
                <w:szCs w:val="24"/>
              </w:rPr>
            </w:pPr>
            <w:r>
              <w:rPr>
                <w:rFonts w:hint="eastAsia" w:ascii="宋体" w:hAnsi="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tcPr>
          <w:p>
            <w:pPr>
              <w:adjustRightInd w:val="0"/>
              <w:spacing w:line="480" w:lineRule="exact"/>
              <w:rPr>
                <w:rFonts w:ascii="宋体" w:hAnsi="宋体"/>
                <w:kern w:val="0"/>
                <w:sz w:val="24"/>
                <w:szCs w:val="24"/>
              </w:rPr>
            </w:pPr>
            <w:r>
              <w:rPr>
                <w:rFonts w:hint="eastAsia" w:ascii="宋体" w:hAnsi="宋体"/>
                <w:kern w:val="0"/>
                <w:sz w:val="24"/>
                <w:szCs w:val="24"/>
              </w:rPr>
              <w:t>仪器设备经费（万元）</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kern w:val="0"/>
                <w:sz w:val="24"/>
                <w:szCs w:val="24"/>
              </w:rPr>
            </w:pPr>
            <w:r>
              <w:rPr>
                <w:rFonts w:hint="eastAsia" w:ascii="宋体" w:hAnsi="宋体"/>
                <w:kern w:val="0"/>
                <w:sz w:val="24"/>
                <w:szCs w:val="24"/>
              </w:rPr>
              <w:t>1300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kern w:val="0"/>
                <w:sz w:val="24"/>
                <w:szCs w:val="24"/>
              </w:rPr>
            </w:pPr>
            <w:r>
              <w:rPr>
                <w:rFonts w:hint="eastAsia" w:ascii="宋体" w:hAnsi="宋体"/>
                <w:kern w:val="0"/>
                <w:sz w:val="24"/>
                <w:szCs w:val="24"/>
              </w:rPr>
              <w:t xml:space="preserve">  1400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1400</w:t>
            </w:r>
          </w:p>
        </w:tc>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1400</w:t>
            </w:r>
          </w:p>
        </w:tc>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1500</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tcPr>
          <w:p>
            <w:pPr>
              <w:adjustRightInd w:val="0"/>
              <w:spacing w:line="480" w:lineRule="exact"/>
              <w:rPr>
                <w:rFonts w:ascii="宋体" w:hAnsi="宋体"/>
                <w:kern w:val="0"/>
                <w:sz w:val="24"/>
                <w:szCs w:val="24"/>
              </w:rPr>
            </w:pPr>
            <w:r>
              <w:rPr>
                <w:rFonts w:hint="eastAsia" w:ascii="宋体" w:hAnsi="宋体"/>
                <w:kern w:val="0"/>
                <w:sz w:val="24"/>
                <w:szCs w:val="24"/>
              </w:rPr>
              <w:t>实验材料费（万元）</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rPr>
                <w:rFonts w:ascii="宋体" w:hAnsi="宋体"/>
                <w:kern w:val="0"/>
                <w:sz w:val="24"/>
                <w:szCs w:val="24"/>
              </w:rPr>
            </w:pPr>
            <w:r>
              <w:rPr>
                <w:rFonts w:hint="eastAsia" w:ascii="宋体" w:hAnsi="宋体"/>
                <w:kern w:val="0"/>
                <w:sz w:val="24"/>
                <w:szCs w:val="24"/>
              </w:rPr>
              <w:t>130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316" w:firstLineChars="132"/>
              <w:jc w:val="left"/>
              <w:rPr>
                <w:rFonts w:ascii="宋体" w:hAnsi="宋体"/>
                <w:kern w:val="0"/>
                <w:sz w:val="24"/>
                <w:szCs w:val="24"/>
              </w:rPr>
            </w:pPr>
            <w:r>
              <w:rPr>
                <w:rFonts w:hint="eastAsia" w:ascii="宋体" w:hAnsi="宋体"/>
                <w:kern w:val="0"/>
                <w:sz w:val="24"/>
                <w:szCs w:val="24"/>
              </w:rPr>
              <w:t>135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140</w:t>
            </w:r>
          </w:p>
        </w:tc>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145</w:t>
            </w:r>
          </w:p>
        </w:tc>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150</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54" w:type="dxa"/>
            <w:tcBorders>
              <w:top w:val="single" w:color="auto" w:sz="4" w:space="0"/>
              <w:left w:val="single" w:color="auto" w:sz="4" w:space="0"/>
              <w:bottom w:val="single" w:color="auto" w:sz="4" w:space="0"/>
              <w:right w:val="single" w:color="auto" w:sz="4" w:space="0"/>
            </w:tcBorders>
          </w:tcPr>
          <w:p>
            <w:pPr>
              <w:adjustRightInd w:val="0"/>
              <w:spacing w:line="480" w:lineRule="exact"/>
              <w:rPr>
                <w:rFonts w:ascii="宋体" w:hAnsi="宋体"/>
                <w:kern w:val="0"/>
                <w:sz w:val="24"/>
                <w:szCs w:val="24"/>
              </w:rPr>
            </w:pPr>
            <w:r>
              <w:rPr>
                <w:rFonts w:hint="eastAsia" w:ascii="宋体" w:hAnsi="宋体"/>
                <w:kern w:val="0"/>
                <w:sz w:val="24"/>
                <w:szCs w:val="24"/>
              </w:rPr>
              <w:t>运行维护费（万元）</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rPr>
                <w:rFonts w:ascii="宋体" w:hAnsi="宋体"/>
                <w:kern w:val="0"/>
                <w:sz w:val="24"/>
                <w:szCs w:val="24"/>
              </w:rPr>
            </w:pPr>
            <w:r>
              <w:rPr>
                <w:rFonts w:hint="eastAsia" w:ascii="宋体" w:hAnsi="宋体"/>
                <w:kern w:val="0"/>
                <w:sz w:val="24"/>
                <w:szCs w:val="24"/>
              </w:rPr>
              <w:t>30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316" w:firstLineChars="132"/>
              <w:jc w:val="left"/>
              <w:rPr>
                <w:rFonts w:ascii="宋体" w:hAnsi="宋体"/>
                <w:kern w:val="0"/>
                <w:sz w:val="24"/>
                <w:szCs w:val="24"/>
              </w:rPr>
            </w:pPr>
            <w:r>
              <w:rPr>
                <w:rFonts w:hint="eastAsia" w:ascii="宋体" w:hAnsi="宋体"/>
                <w:kern w:val="0"/>
                <w:sz w:val="24"/>
                <w:szCs w:val="24"/>
              </w:rPr>
              <w:t>35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35</w:t>
            </w:r>
          </w:p>
        </w:tc>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40</w:t>
            </w:r>
          </w:p>
        </w:tc>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40</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tcPr>
          <w:p>
            <w:pPr>
              <w:adjustRightInd w:val="0"/>
              <w:spacing w:line="480" w:lineRule="exact"/>
              <w:ind w:firstLine="480"/>
              <w:rPr>
                <w:rFonts w:ascii="宋体" w:hAnsi="宋体"/>
                <w:kern w:val="0"/>
                <w:sz w:val="24"/>
                <w:szCs w:val="24"/>
              </w:rPr>
            </w:pPr>
            <w:r>
              <w:rPr>
                <w:rFonts w:hint="eastAsia" w:ascii="宋体" w:hAnsi="宋体"/>
                <w:kern w:val="0"/>
                <w:sz w:val="24"/>
                <w:szCs w:val="24"/>
              </w:rPr>
              <w:t>合计（万元）</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kern w:val="0"/>
                <w:sz w:val="24"/>
                <w:szCs w:val="24"/>
              </w:rPr>
            </w:pPr>
            <w:r>
              <w:rPr>
                <w:rFonts w:hint="eastAsia" w:ascii="宋体" w:hAnsi="宋体"/>
                <w:kern w:val="0"/>
                <w:sz w:val="24"/>
                <w:szCs w:val="24"/>
              </w:rPr>
              <w:t>1460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kern w:val="0"/>
                <w:sz w:val="24"/>
                <w:szCs w:val="24"/>
              </w:rPr>
            </w:pPr>
            <w:r>
              <w:rPr>
                <w:rFonts w:hint="eastAsia" w:ascii="宋体" w:hAnsi="宋体"/>
                <w:kern w:val="0"/>
                <w:sz w:val="24"/>
                <w:szCs w:val="24"/>
              </w:rPr>
              <w:t xml:space="preserve">  1670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1475</w:t>
            </w:r>
          </w:p>
        </w:tc>
        <w:tc>
          <w:tcPr>
            <w:tcW w:w="99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1585</w:t>
            </w:r>
          </w:p>
        </w:tc>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jc w:val="left"/>
              <w:rPr>
                <w:rFonts w:ascii="宋体" w:hAnsi="宋体"/>
                <w:kern w:val="0"/>
                <w:sz w:val="24"/>
                <w:szCs w:val="24"/>
              </w:rPr>
            </w:pPr>
            <w:r>
              <w:rPr>
                <w:rFonts w:hint="eastAsia" w:ascii="宋体" w:hAnsi="宋体"/>
                <w:kern w:val="0"/>
                <w:sz w:val="24"/>
                <w:szCs w:val="24"/>
              </w:rPr>
              <w:t>1590</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99" w:firstLineChars="83"/>
              <w:jc w:val="left"/>
              <w:rPr>
                <w:rFonts w:ascii="宋体" w:hAnsi="宋体"/>
                <w:kern w:val="0"/>
                <w:sz w:val="24"/>
                <w:szCs w:val="24"/>
              </w:rPr>
            </w:pPr>
            <w:r>
              <w:rPr>
                <w:rFonts w:hint="eastAsia" w:ascii="宋体" w:hAnsi="宋体"/>
                <w:kern w:val="0"/>
                <w:sz w:val="24"/>
                <w:szCs w:val="24"/>
              </w:rPr>
              <w:t>7880</w:t>
            </w:r>
          </w:p>
        </w:tc>
      </w:tr>
    </w:tbl>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2.以学科建设为平台，加强重点项目建设</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构建大实验室管理体制，组建高端设备、高级人才汇集的“学科实验中心”“科技创新平台”，促进高层次项目成功申报。“十三五”期间，一是继续加强2个省级实验教学示范中心和虚拟仿真实验教学示范中心建设，计划新增省级实验教学（科研）平台1-2个；二是提升校级实验教学示范中心的引领和示范作用，建设校级重点实验示范中心5个、虚拟仿真实验教学中心4个，提高学校实验室服务地方的能力。</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3.以协同创新为导向，推进实验室与实训基地校企共建</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以协同创新为导向，密切关注地方经济发展趋势，加强校企、校校合作，健全完善实验设备平台资源共享、开放运行的体制机制，进一步推进实验室与实训基地的校企共建。到2020年，协同大院名校对接衢州地方产业组建协同创新研究平台8-10个；吸引行业企业合作共建3-5个“嵌入式”</w:t>
      </w:r>
      <w:r>
        <w:rPr>
          <w:rFonts w:hint="eastAsia" w:ascii="宋体" w:hAnsi="宋体"/>
          <w:sz w:val="24"/>
          <w:szCs w:val="24"/>
        </w:rPr>
        <w:t xml:space="preserve"> </w:t>
      </w:r>
      <w:r>
        <w:rPr>
          <w:rFonts w:hint="eastAsia" w:ascii="宋体" w:hAnsi="宋体"/>
          <w:kern w:val="0"/>
          <w:sz w:val="24"/>
          <w:szCs w:val="24"/>
        </w:rPr>
        <w:t>实验室；扎实推进校外实践基地建设，力争校外实践基地在现有 119 个的基础上增加到 159-179 个。</w:t>
      </w:r>
    </w:p>
    <w:p>
      <w:pPr>
        <w:adjustRightInd w:val="0"/>
        <w:snapToGrid w:val="0"/>
        <w:spacing w:line="480" w:lineRule="exact"/>
        <w:rPr>
          <w:rFonts w:ascii="宋体" w:hAnsi="宋体"/>
          <w:b/>
          <w:bCs/>
          <w:kern w:val="0"/>
          <w:sz w:val="24"/>
          <w:szCs w:val="24"/>
        </w:rPr>
      </w:pPr>
      <w:r>
        <w:rPr>
          <w:rFonts w:hint="eastAsia" w:ascii="宋体" w:hAnsi="宋体"/>
          <w:kern w:val="0"/>
          <w:sz w:val="24"/>
          <w:szCs w:val="24"/>
        </w:rPr>
        <w:t xml:space="preserve">    </w:t>
      </w:r>
      <w:r>
        <w:rPr>
          <w:rFonts w:hint="eastAsia" w:ascii="宋体" w:hAnsi="宋体"/>
          <w:b/>
          <w:bCs/>
          <w:kern w:val="0"/>
          <w:sz w:val="24"/>
          <w:szCs w:val="24"/>
        </w:rPr>
        <w:t>（四）实验教学改革工程</w:t>
      </w:r>
    </w:p>
    <w:p>
      <w:pPr>
        <w:adjustRightInd w:val="0"/>
        <w:snapToGrid w:val="0"/>
        <w:spacing w:line="480" w:lineRule="exact"/>
        <w:ind w:firstLine="640"/>
        <w:rPr>
          <w:rFonts w:ascii="宋体" w:hAnsi="宋体"/>
          <w:kern w:val="0"/>
          <w:sz w:val="24"/>
          <w:szCs w:val="24"/>
        </w:rPr>
      </w:pPr>
      <w:r>
        <w:rPr>
          <w:rFonts w:hint="eastAsia" w:ascii="宋体" w:hAnsi="宋体"/>
          <w:kern w:val="0"/>
          <w:sz w:val="24"/>
          <w:szCs w:val="24"/>
        </w:rPr>
        <w:t>加大实验室教学改革力度，从课时安排、实验内容和指导方式等方面改革传统实验教学体制，以应用型人才培养为目标，进行实验教学系统改革，在实验时间开放、实验内容自由选做方面下功夫，重点突出培养学生的综合实践能力和创新能力。改变传统的教学模式，从以教师为中心转向以学生为中心，增加综合性、开放性的训练项目的比例。加大实验室开放力度和开放实验项目的支持力度，打通第一、第二课堂实践教学环节，实现两个课堂教学空间衔接、教学内容互补的目标；实施“双证”培养，推进学历证书与职业资格证书“双证书”制度。</w:t>
      </w:r>
    </w:p>
    <w:p>
      <w:pPr>
        <w:adjustRightInd w:val="0"/>
        <w:snapToGrid w:val="0"/>
        <w:spacing w:line="480" w:lineRule="exact"/>
        <w:rPr>
          <w:rFonts w:ascii="宋体" w:hAnsi="宋体"/>
          <w:b/>
          <w:bCs/>
          <w:kern w:val="0"/>
          <w:sz w:val="24"/>
          <w:szCs w:val="24"/>
        </w:rPr>
      </w:pPr>
      <w:r>
        <w:rPr>
          <w:rFonts w:hint="eastAsia" w:ascii="宋体" w:hAnsi="宋体"/>
          <w:b/>
          <w:bCs/>
          <w:kern w:val="0"/>
          <w:sz w:val="24"/>
          <w:szCs w:val="24"/>
        </w:rPr>
        <w:t xml:space="preserve">    （五）实验室开放共享工程</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实验室开放共享是实验室生命力的源泉，实验室开放共享主要包括时间开放、内容开放、实施设备开放。研究制定与实验室和大型仪器设备开放共享相适应的规章制度；设立大型仪器设备开放基金、大型仪器设备维护维修基金；提高大型仪器设备利用率。在确保满足日常实验教学的前提下，一是加强校内开放共享管理，学生可根据自己的兴趣和爱好，选择实验项目、实验内容和相应的设备、装置、实验室，促进学生自主学习、个性化培养。二是加强与企业、科研院所等的合作与交流，发挥现有大型仪器设备和实验资源的作用，提升服务社会的能力与水平。</w:t>
      </w:r>
    </w:p>
    <w:p>
      <w:pPr>
        <w:adjustRightInd w:val="0"/>
        <w:snapToGrid w:val="0"/>
        <w:spacing w:line="480" w:lineRule="exact"/>
        <w:ind w:firstLine="643"/>
        <w:rPr>
          <w:rFonts w:ascii="黑体" w:hAnsi="黑体" w:eastAsia="黑体" w:cs="黑体"/>
          <w:kern w:val="0"/>
          <w:sz w:val="24"/>
          <w:szCs w:val="24"/>
        </w:rPr>
      </w:pPr>
      <w:r>
        <w:rPr>
          <w:rFonts w:hint="eastAsia" w:ascii="黑体" w:hAnsi="黑体" w:eastAsia="黑体" w:cs="黑体"/>
          <w:kern w:val="0"/>
          <w:sz w:val="24"/>
          <w:szCs w:val="24"/>
        </w:rPr>
        <w:t>五、保障措施</w:t>
      </w:r>
    </w:p>
    <w:p>
      <w:pPr>
        <w:adjustRightInd w:val="0"/>
        <w:snapToGrid w:val="0"/>
        <w:spacing w:line="480" w:lineRule="exact"/>
        <w:rPr>
          <w:rFonts w:ascii="宋体" w:hAnsi="宋体"/>
          <w:b/>
          <w:bCs/>
          <w:kern w:val="0"/>
          <w:sz w:val="24"/>
          <w:szCs w:val="24"/>
        </w:rPr>
      </w:pPr>
      <w:r>
        <w:rPr>
          <w:rFonts w:hint="eastAsia" w:ascii="宋体" w:hAnsi="宋体"/>
          <w:b/>
          <w:bCs/>
          <w:kern w:val="0"/>
          <w:sz w:val="24"/>
          <w:szCs w:val="24"/>
        </w:rPr>
        <w:t xml:space="preserve">    （一）进一步倡导项目系统规划，注重资源融合效益的发挥</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实验室和实训基地建设规划要注重项目实施的整体性和连续性，避免因长远发展目标分析定位不到位而改变规划的现象。衔接好现有资源与新增资源，根据基础知识、专业基础知识和专业知识的理论要求分层次建立塔型实验室体系。根据不同理论层次的实验室，与知识点相应的企业加强合作，做到工学结合，多方共赢。按照“统筹规划，分步实施，集成建设，开放共享”的原则，实行“集中投资、重点建设、立项拨款、绩效评价”的经费管理使用办法，把好项目论证关。</w:t>
      </w:r>
    </w:p>
    <w:p>
      <w:pPr>
        <w:adjustRightInd w:val="0"/>
        <w:snapToGrid w:val="0"/>
        <w:spacing w:line="480" w:lineRule="exact"/>
        <w:rPr>
          <w:rFonts w:ascii="宋体" w:hAnsi="宋体"/>
          <w:b/>
          <w:bCs/>
          <w:kern w:val="0"/>
          <w:sz w:val="24"/>
          <w:szCs w:val="24"/>
        </w:rPr>
      </w:pPr>
      <w:r>
        <w:rPr>
          <w:rFonts w:hint="eastAsia" w:ascii="宋体" w:hAnsi="宋体"/>
          <w:b/>
          <w:bCs/>
          <w:kern w:val="0"/>
          <w:sz w:val="24"/>
          <w:szCs w:val="24"/>
        </w:rPr>
        <w:t xml:space="preserve">    （二）进一步加大资金投入，提高实验室和实训基地绩效</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统筹规划实验室和实训基地建设，做好财政专项资金项目建设，争取更多财政性资金专项资助；充分利用实验室和实训基地现有资源整合效益，大力加强产学研合作，多渠道筹措资金；加大学校技措项目的投入，改善实验室和实训基地硬件和环境条件，促进实验室和实训基地建设上规模、上层次、上水平，努力提高综合效益；探索建立与合作企业共设创业基金、共建创业基地的长效机制，多种途径为师生实习实训、创新创业实践、科技孵化提供综合服务。</w:t>
      </w:r>
    </w:p>
    <w:p>
      <w:pPr>
        <w:adjustRightInd w:val="0"/>
        <w:snapToGrid w:val="0"/>
        <w:spacing w:line="480" w:lineRule="exact"/>
        <w:rPr>
          <w:rFonts w:ascii="宋体" w:hAnsi="宋体"/>
          <w:b/>
          <w:bCs/>
          <w:kern w:val="0"/>
          <w:sz w:val="24"/>
          <w:szCs w:val="24"/>
        </w:rPr>
      </w:pPr>
      <w:r>
        <w:rPr>
          <w:rFonts w:hint="eastAsia" w:ascii="宋体" w:hAnsi="宋体"/>
          <w:kern w:val="0"/>
          <w:sz w:val="24"/>
          <w:szCs w:val="24"/>
        </w:rPr>
        <w:t xml:space="preserve">    </w:t>
      </w:r>
      <w:r>
        <w:rPr>
          <w:rFonts w:hint="eastAsia" w:ascii="宋体" w:hAnsi="宋体"/>
          <w:b/>
          <w:bCs/>
          <w:kern w:val="0"/>
          <w:sz w:val="24"/>
          <w:szCs w:val="24"/>
        </w:rPr>
        <w:t>（三）进一步建立健全规章制度，加强实验室和实训基地管理</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实验室和实训基地管理是一项综合性工作，实现管理工作标准化、规范化、科学化是今后实验室和实训基地管理工作的重要任务。</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1.建立健全各项规章制度，全面推行计算机网络化管理。充分发挥校园网的功能，运用现代网络技术手段，逐步实现实验室和实训基地以及仪器设备的网络化管理，提高工作效率和管理水平。</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2.全面推行实验室主任负责制。全校所有实验室，要逐步形成由实验教师、技术人员和管理人员组成的相对独立的体系，推行实验室主任负责制，实行“人、财、物”集中管理、统一调度。</w:t>
      </w:r>
    </w:p>
    <w:p>
      <w:pPr>
        <w:adjustRightInd w:val="0"/>
        <w:snapToGrid w:val="0"/>
        <w:spacing w:line="480" w:lineRule="exact"/>
        <w:rPr>
          <w:rFonts w:ascii="宋体" w:hAnsi="宋体"/>
          <w:b/>
          <w:bCs/>
          <w:kern w:val="0"/>
          <w:sz w:val="24"/>
          <w:szCs w:val="24"/>
        </w:rPr>
      </w:pPr>
      <w:r>
        <w:rPr>
          <w:rFonts w:hint="eastAsia" w:ascii="宋体" w:hAnsi="宋体"/>
          <w:kern w:val="0"/>
          <w:sz w:val="24"/>
          <w:szCs w:val="24"/>
        </w:rPr>
        <w:t xml:space="preserve">   </w:t>
      </w:r>
      <w:r>
        <w:rPr>
          <w:rFonts w:hint="eastAsia" w:ascii="宋体" w:hAnsi="宋体"/>
          <w:b/>
          <w:bCs/>
          <w:kern w:val="0"/>
          <w:sz w:val="24"/>
          <w:szCs w:val="24"/>
        </w:rPr>
        <w:t xml:space="preserve"> （四）进一步强化安全管理，确保实验室安全运行</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1.加强安全教育和培训，增强师生安全实验意识。制订实验室安全管理规范，推行学生实验安全准入考试制度，严格执行实验室安全准入规定。</w:t>
      </w:r>
    </w:p>
    <w:p>
      <w:pPr>
        <w:adjustRightInd w:val="0"/>
        <w:snapToGrid w:val="0"/>
        <w:spacing w:line="480" w:lineRule="exact"/>
        <w:rPr>
          <w:rFonts w:ascii="宋体" w:hAnsi="宋体"/>
          <w:kern w:val="0"/>
          <w:sz w:val="24"/>
          <w:szCs w:val="24"/>
        </w:rPr>
      </w:pPr>
      <w:r>
        <w:rPr>
          <w:rFonts w:hint="eastAsia" w:ascii="宋体" w:hAnsi="宋体"/>
          <w:kern w:val="0"/>
          <w:sz w:val="24"/>
          <w:szCs w:val="24"/>
        </w:rPr>
        <w:t xml:space="preserve">    2.健全安全管理体制。建立校、院、实验室三级实验室安全管理网络。学校成立以分管校长为组长，保卫处、实验室与设备管理处等相关职能部门负责人和各学院分管院长为主要成员的实验室安全领导小组，负责全校安全工作的决策与管理；各学院成立以分管院长为组长，实验室主任、学科带头人组成的实验室安全工作小组，对本部门职责范围的安全负责；以实验室为单位设立专职安全管理员，对本实验室的安全负责。</w:t>
      </w:r>
    </w:p>
    <w:p>
      <w:pPr>
        <w:adjustRightInd w:val="0"/>
        <w:snapToGrid w:val="0"/>
        <w:spacing w:line="480" w:lineRule="exact"/>
        <w:rPr>
          <w:rFonts w:ascii="宋体" w:hAnsi="宋体"/>
          <w:color w:val="000000"/>
          <w:kern w:val="0"/>
          <w:sz w:val="24"/>
          <w:szCs w:val="24"/>
        </w:rPr>
      </w:pPr>
      <w:r>
        <w:rPr>
          <w:rFonts w:hint="eastAsia" w:ascii="宋体" w:hAnsi="宋体"/>
          <w:kern w:val="0"/>
          <w:sz w:val="24"/>
          <w:szCs w:val="24"/>
        </w:rPr>
        <w:t xml:space="preserve">    3.制定实验室安全应急预案，开展应急演练。依据实验室安全管理规定，制定切实可行的安全预案，认真开展安全应急演练，切实掌握安全防范和应急处理技能，使学生在遇到事故时能够沉着冷静应对，最大限度地降低事故危害</w:t>
      </w:r>
      <w:r>
        <w:rPr>
          <w:rFonts w:hint="eastAsia" w:ascii="宋体" w:hAnsi="宋体"/>
          <w:color w:val="000000"/>
          <w:kern w:val="0"/>
          <w:sz w:val="24"/>
          <w:szCs w:val="24"/>
        </w:rPr>
        <w:t>程度，确保全校师生人身、学校公共财物安全。</w:t>
      </w:r>
    </w:p>
    <w:p>
      <w:pPr>
        <w:adjustRightInd w:val="0"/>
        <w:snapToGrid w:val="0"/>
        <w:spacing w:line="480" w:lineRule="exact"/>
        <w:ind w:firstLine="482" w:firstLineChars="200"/>
        <w:rPr>
          <w:rFonts w:ascii="宋体" w:hAnsi="宋体"/>
          <w:b/>
          <w:bCs/>
          <w:kern w:val="0"/>
          <w:sz w:val="24"/>
          <w:szCs w:val="24"/>
        </w:rPr>
      </w:pPr>
      <w:r>
        <w:rPr>
          <w:rFonts w:hint="eastAsia" w:ascii="宋体" w:hAnsi="宋体"/>
          <w:b/>
          <w:bCs/>
          <w:kern w:val="0"/>
          <w:sz w:val="24"/>
          <w:szCs w:val="24"/>
        </w:rPr>
        <w:t>（五）进一步加强队伍建设，促进实验室队伍可持续发展</w:t>
      </w:r>
    </w:p>
    <w:p>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rPr>
        <w:t>1.确保实验教学人员和实验技术人员两支队伍的职称结构和年龄结构的合理性，提高实验室的综合素质和业务水平，满足教学实验与科研实验工作的实际需要。根据学校现有实验室实际情况和实验室的建设情况，积极采取切实有效的措施，选留或引进实验技术人员，重点引进高层次、高素质的实验技术人员。</w:t>
      </w:r>
    </w:p>
    <w:p>
      <w:pPr>
        <w:adjustRightInd w:val="0"/>
        <w:snapToGrid w:val="0"/>
        <w:spacing w:line="480" w:lineRule="exact"/>
        <w:ind w:firstLine="504" w:firstLineChars="210"/>
        <w:rPr>
          <w:rFonts w:ascii="宋体" w:hAnsi="宋体"/>
          <w:kern w:val="0"/>
          <w:sz w:val="24"/>
          <w:szCs w:val="24"/>
        </w:rPr>
      </w:pPr>
      <w:r>
        <w:rPr>
          <w:rFonts w:hint="eastAsia" w:ascii="宋体" w:hAnsi="宋体"/>
          <w:kern w:val="0"/>
          <w:sz w:val="24"/>
          <w:szCs w:val="24"/>
        </w:rPr>
        <w:t>2.进一步明确岗位职责，完善实验技术人员岗位设置与职称评聘制度。在评聘职称过程中，应侧重加强实验技术人员有关实验技术工作能力、业绩与成果方面的考核，主要包括实验室管理、实验技术指导及实验仪器设备维修维护、技术改造等服务教学、科研等方面的能力。</w:t>
      </w:r>
    </w:p>
    <w:p>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rPr>
        <w:t>3.加强培训与交流。注重和加强实验教师和实验技术人员的交流和培训，提高实验教学队伍的素质；根据工作和培养的需要，定期安排优秀实验教师和实验技术人员出国培训与交流；对刚参加实验教学工作的实验技术人员，实行“导师制”，要配备有经验的实验教师或实验技术专家进行指导和培养。</w:t>
      </w:r>
    </w:p>
    <w:p>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rPr>
        <w:t>4.建立健全激励机制。建立营造竞争性环境和权、责、利相结合的激励机制，建立健全实验室建设项目绩效考核评价与激励制度，将投资效益、管理绩效与实验人员晋升晋级、职称评聘挂钩，以调动实验人员参与实验室建设和管理的积极性；设立实验教学改革、创新实验研究、实验技术专项基金，以促进实验教学改革与实验技术的研究开发；定期开展实验技术成果奖评选，鼓励实验技术人员开展实验设备研制和开发以及进行实验手段改革等，使实验教学师资队伍和实验技术人员队伍能够保持相对稳定和持续健康发展。</w:t>
      </w:r>
    </w:p>
    <w:p>
      <w:pPr>
        <w:adjustRightInd w:val="0"/>
        <w:snapToGrid w:val="0"/>
        <w:spacing w:line="480" w:lineRule="exact"/>
        <w:ind w:firstLine="640"/>
        <w:rPr>
          <w:rFonts w:ascii="宋体" w:hAnsi="宋体"/>
          <w:kern w:val="0"/>
          <w:sz w:val="24"/>
          <w:szCs w:val="24"/>
        </w:rPr>
      </w:pPr>
    </w:p>
    <w:p>
      <w:pPr>
        <w:spacing w:line="480" w:lineRule="exact"/>
        <w:ind w:firstLine="640"/>
        <w:rPr>
          <w:rFonts w:ascii="宋体" w:hAnsi="宋体"/>
          <w:kern w:val="0"/>
          <w:sz w:val="24"/>
          <w:szCs w:val="24"/>
        </w:rPr>
      </w:pPr>
    </w:p>
    <w:p>
      <w:pPr>
        <w:spacing w:line="480" w:lineRule="exact"/>
        <w:ind w:firstLine="480" w:firstLineChars="200"/>
        <w:rPr>
          <w:rFonts w:ascii="宋体" w:hAnsi="宋体"/>
          <w:kern w:val="0"/>
          <w:sz w:val="24"/>
          <w:szCs w:val="24"/>
        </w:rPr>
      </w:pPr>
      <w:r>
        <w:rPr>
          <w:rFonts w:hint="eastAsia" w:ascii="宋体" w:hAnsi="宋体"/>
          <w:kern w:val="0"/>
          <w:sz w:val="24"/>
          <w:szCs w:val="24"/>
        </w:rPr>
        <w:t>附件：衢州学院“十三五”实验室和实训基地建设目标</w:t>
      </w:r>
    </w:p>
    <w:p>
      <w:pPr>
        <w:spacing w:line="480" w:lineRule="exact"/>
        <w:ind w:firstLine="640"/>
        <w:rPr>
          <w:rFonts w:ascii="宋体" w:hAnsi="宋体"/>
          <w:kern w:val="0"/>
          <w:sz w:val="24"/>
          <w:szCs w:val="24"/>
        </w:rPr>
      </w:pPr>
    </w:p>
    <w:p>
      <w:pPr>
        <w:spacing w:line="480" w:lineRule="exact"/>
        <w:ind w:firstLine="640"/>
        <w:rPr>
          <w:rFonts w:ascii="宋体" w:hAnsi="宋体"/>
          <w:kern w:val="0"/>
          <w:sz w:val="24"/>
          <w:szCs w:val="24"/>
        </w:rPr>
      </w:pPr>
    </w:p>
    <w:p>
      <w:pPr>
        <w:spacing w:line="480" w:lineRule="exact"/>
        <w:ind w:firstLine="640"/>
        <w:rPr>
          <w:rFonts w:ascii="宋体" w:hAnsi="宋体"/>
          <w:kern w:val="0"/>
          <w:sz w:val="24"/>
          <w:szCs w:val="24"/>
        </w:rPr>
      </w:pPr>
    </w:p>
    <w:p>
      <w:pPr>
        <w:spacing w:line="480" w:lineRule="exact"/>
        <w:ind w:firstLine="640"/>
        <w:rPr>
          <w:rFonts w:ascii="宋体" w:hAnsi="宋体"/>
          <w:kern w:val="0"/>
          <w:sz w:val="24"/>
          <w:szCs w:val="24"/>
        </w:rPr>
      </w:pPr>
    </w:p>
    <w:p>
      <w:pPr>
        <w:spacing w:line="480" w:lineRule="exact"/>
        <w:ind w:firstLine="640"/>
        <w:rPr>
          <w:rFonts w:ascii="宋体" w:hAnsi="宋体"/>
          <w:kern w:val="0"/>
          <w:sz w:val="24"/>
          <w:szCs w:val="24"/>
        </w:rPr>
      </w:pPr>
    </w:p>
    <w:p>
      <w:pPr>
        <w:spacing w:line="480" w:lineRule="exact"/>
        <w:ind w:firstLine="640"/>
        <w:rPr>
          <w:rFonts w:ascii="宋体" w:hAnsi="宋体"/>
          <w:kern w:val="0"/>
          <w:sz w:val="24"/>
          <w:szCs w:val="24"/>
        </w:rPr>
      </w:pPr>
    </w:p>
    <w:p>
      <w:pPr>
        <w:spacing w:line="480" w:lineRule="exact"/>
        <w:rPr>
          <w:rFonts w:ascii="宋体" w:hAnsi="宋体"/>
          <w:kern w:val="0"/>
          <w:sz w:val="24"/>
          <w:szCs w:val="24"/>
        </w:rPr>
      </w:pPr>
    </w:p>
    <w:p>
      <w:pPr>
        <w:widowControl/>
        <w:jc w:val="left"/>
        <w:rPr>
          <w:rFonts w:ascii="宋体" w:hAnsi="宋体"/>
          <w:kern w:val="0"/>
          <w:sz w:val="24"/>
          <w:szCs w:val="24"/>
        </w:rPr>
      </w:pPr>
      <w:r>
        <w:rPr>
          <w:rFonts w:ascii="宋体" w:hAnsi="宋体"/>
          <w:kern w:val="0"/>
          <w:sz w:val="24"/>
          <w:szCs w:val="24"/>
        </w:rPr>
        <w:br w:type="page"/>
      </w:r>
    </w:p>
    <w:p>
      <w:pPr>
        <w:spacing w:line="480" w:lineRule="exact"/>
        <w:rPr>
          <w:rFonts w:ascii="宋体" w:hAnsi="宋体"/>
          <w:b/>
          <w:bCs/>
          <w:kern w:val="0"/>
          <w:sz w:val="24"/>
          <w:szCs w:val="24"/>
        </w:rPr>
      </w:pPr>
      <w:r>
        <w:rPr>
          <w:rFonts w:hint="eastAsia" w:ascii="宋体" w:hAnsi="宋体"/>
          <w:b/>
          <w:bCs/>
          <w:kern w:val="0"/>
          <w:sz w:val="24"/>
          <w:szCs w:val="24"/>
        </w:rPr>
        <w:t>附件：</w:t>
      </w:r>
    </w:p>
    <w:p>
      <w:pPr>
        <w:spacing w:line="480" w:lineRule="exact"/>
        <w:ind w:firstLine="640"/>
        <w:jc w:val="center"/>
        <w:rPr>
          <w:rFonts w:ascii="黑体" w:hAnsi="黑体" w:eastAsia="黑体" w:cs="黑体"/>
          <w:kern w:val="0"/>
          <w:sz w:val="32"/>
          <w:szCs w:val="32"/>
        </w:rPr>
      </w:pPr>
      <w:r>
        <w:rPr>
          <w:rFonts w:hint="eastAsia" w:ascii="黑体" w:hAnsi="黑体" w:eastAsia="黑体" w:cs="黑体"/>
          <w:kern w:val="0"/>
          <w:sz w:val="32"/>
          <w:szCs w:val="32"/>
        </w:rPr>
        <w:t>衢州学院“十三五”实验室和实训基地建设目标</w:t>
      </w:r>
    </w:p>
    <w:tbl>
      <w:tblPr>
        <w:tblStyle w:val="13"/>
        <w:tblpPr w:leftFromText="180" w:rightFromText="180" w:vertAnchor="text" w:horzAnchor="margin" w:tblpXSpec="center" w:tblpY="2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4745"/>
        <w:gridCol w:w="1581"/>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序号</w:t>
            </w:r>
          </w:p>
        </w:tc>
        <w:tc>
          <w:tcPr>
            <w:tcW w:w="4745" w:type="dxa"/>
            <w:vAlign w:val="center"/>
          </w:tcPr>
          <w:p>
            <w:pPr>
              <w:spacing w:line="480" w:lineRule="exact"/>
              <w:ind w:firstLine="560"/>
              <w:jc w:val="center"/>
              <w:rPr>
                <w:rFonts w:ascii="宋体" w:hAnsi="宋体"/>
                <w:sz w:val="24"/>
                <w:szCs w:val="24"/>
              </w:rPr>
            </w:pPr>
            <w:r>
              <w:rPr>
                <w:rFonts w:hint="eastAsia" w:ascii="宋体" w:hAnsi="宋体"/>
                <w:sz w:val="24"/>
                <w:szCs w:val="24"/>
              </w:rPr>
              <w:t>建设内容</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现有数</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新增数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1</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中央省财政专项资助实验室建设</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28个</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18-20个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2</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省级实验教学（科研）平台建设</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3个</w:t>
            </w:r>
          </w:p>
        </w:tc>
        <w:tc>
          <w:tcPr>
            <w:tcW w:w="1680" w:type="dxa"/>
            <w:vAlign w:val="center"/>
          </w:tcPr>
          <w:p>
            <w:pPr>
              <w:spacing w:line="480" w:lineRule="exact"/>
              <w:ind w:firstLine="170" w:firstLineChars="71"/>
              <w:jc w:val="center"/>
              <w:rPr>
                <w:rFonts w:ascii="宋体" w:hAnsi="宋体"/>
                <w:sz w:val="24"/>
                <w:szCs w:val="24"/>
              </w:rPr>
            </w:pPr>
            <w:r>
              <w:rPr>
                <w:rFonts w:hint="eastAsia" w:ascii="宋体" w:hAnsi="宋体"/>
                <w:sz w:val="24"/>
                <w:szCs w:val="24"/>
              </w:rPr>
              <w:t>1-2个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3</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协同创新中心综合体建设</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4</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协同创新研究平台建设</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5个</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3-5个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5</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校企“嵌入式”实验室建设</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2个</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3-5个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6</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实训（实习）基地建设</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119个</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40-60个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7</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生均科研教学仪器设备值</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1.44万元</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0.56万元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949" w:type="dxa"/>
            <w:vAlign w:val="center"/>
          </w:tcPr>
          <w:p>
            <w:pPr>
              <w:spacing w:line="480" w:lineRule="exact"/>
              <w:jc w:val="center"/>
              <w:rPr>
                <w:rFonts w:ascii="宋体" w:hAnsi="宋体"/>
                <w:sz w:val="24"/>
                <w:szCs w:val="24"/>
              </w:rPr>
            </w:pPr>
            <w:r>
              <w:rPr>
                <w:rFonts w:hint="eastAsia" w:ascii="宋体" w:hAnsi="宋体"/>
                <w:sz w:val="24"/>
                <w:szCs w:val="24"/>
              </w:rPr>
              <w:t>8</w:t>
            </w:r>
          </w:p>
        </w:tc>
        <w:tc>
          <w:tcPr>
            <w:tcW w:w="4745" w:type="dxa"/>
            <w:vAlign w:val="center"/>
          </w:tcPr>
          <w:p>
            <w:pPr>
              <w:spacing w:line="480" w:lineRule="exact"/>
              <w:jc w:val="center"/>
              <w:rPr>
                <w:rFonts w:ascii="宋体" w:hAnsi="宋体"/>
                <w:sz w:val="24"/>
                <w:szCs w:val="24"/>
              </w:rPr>
            </w:pPr>
            <w:r>
              <w:rPr>
                <w:rFonts w:hint="eastAsia" w:ascii="宋体" w:hAnsi="宋体"/>
                <w:sz w:val="24"/>
                <w:szCs w:val="24"/>
              </w:rPr>
              <w:t>科研教学仪器设备总值</w:t>
            </w:r>
          </w:p>
        </w:tc>
        <w:tc>
          <w:tcPr>
            <w:tcW w:w="1581" w:type="dxa"/>
            <w:vAlign w:val="center"/>
          </w:tcPr>
          <w:p>
            <w:pPr>
              <w:spacing w:line="480" w:lineRule="exact"/>
              <w:jc w:val="center"/>
              <w:rPr>
                <w:rFonts w:ascii="宋体" w:hAnsi="宋体"/>
                <w:sz w:val="24"/>
                <w:szCs w:val="24"/>
              </w:rPr>
            </w:pPr>
            <w:r>
              <w:rPr>
                <w:rFonts w:hint="eastAsia" w:ascii="宋体" w:hAnsi="宋体"/>
                <w:sz w:val="24"/>
                <w:szCs w:val="24"/>
              </w:rPr>
              <w:t>11001万元</w:t>
            </w:r>
          </w:p>
        </w:tc>
        <w:tc>
          <w:tcPr>
            <w:tcW w:w="1680" w:type="dxa"/>
            <w:vAlign w:val="center"/>
          </w:tcPr>
          <w:p>
            <w:pPr>
              <w:spacing w:line="480" w:lineRule="exact"/>
              <w:jc w:val="center"/>
              <w:rPr>
                <w:rFonts w:ascii="宋体" w:hAnsi="宋体"/>
                <w:sz w:val="24"/>
                <w:szCs w:val="24"/>
              </w:rPr>
            </w:pPr>
            <w:r>
              <w:rPr>
                <w:rFonts w:hint="eastAsia" w:ascii="宋体" w:hAnsi="宋体"/>
                <w:sz w:val="24"/>
                <w:szCs w:val="24"/>
              </w:rPr>
              <w:t>5000万元</w:t>
            </w:r>
          </w:p>
        </w:tc>
      </w:tr>
    </w:tbl>
    <w:p>
      <w:pPr>
        <w:adjustRightInd w:val="0"/>
        <w:snapToGrid w:val="0"/>
        <w:spacing w:line="560" w:lineRule="exact"/>
        <w:ind w:firstLine="560"/>
        <w:rPr>
          <w:rFonts w:ascii="宋体" w:hAnsi="宋体"/>
          <w:color w:val="000000"/>
          <w:kern w:val="0"/>
          <w:sz w:val="24"/>
          <w:szCs w:val="24"/>
        </w:rPr>
      </w:pPr>
    </w:p>
    <w:p>
      <w:pPr>
        <w:widowControl/>
        <w:jc w:val="left"/>
        <w:rPr>
          <w:rFonts w:ascii="宋体" w:hAnsi="宋体"/>
          <w:color w:val="000000"/>
          <w:kern w:val="0"/>
          <w:sz w:val="24"/>
          <w:szCs w:val="24"/>
        </w:rPr>
      </w:pPr>
      <w:r>
        <w:rPr>
          <w:rFonts w:ascii="宋体" w:hAnsi="宋体"/>
          <w:color w:val="000000"/>
          <w:kern w:val="0"/>
          <w:sz w:val="24"/>
          <w:szCs w:val="24"/>
        </w:rPr>
        <w:br w:type="page"/>
      </w:r>
    </w:p>
    <w:p>
      <w:pPr>
        <w:pStyle w:val="2"/>
      </w:pPr>
      <w:bookmarkStart w:id="67" w:name="_Toc46402436"/>
      <w:r>
        <w:rPr>
          <w:rFonts w:hint="eastAsia"/>
        </w:rPr>
        <w:t>衢州学院实验室废弃物处置管理暂行办法</w:t>
      </w:r>
      <w:bookmarkEnd w:id="67"/>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第一章 总 则</w:t>
      </w:r>
    </w:p>
    <w:p>
      <w:pPr>
        <w:spacing w:line="560" w:lineRule="exact"/>
        <w:rPr>
          <w:rFonts w:ascii="黑体" w:hAnsi="黑体" w:eastAsia="黑体" w:cs="黑体"/>
          <w:bCs/>
          <w:kern w:val="0"/>
          <w:sz w:val="32"/>
          <w:szCs w:val="32"/>
        </w:rPr>
      </w:pP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第一条</w:t>
      </w:r>
      <w:r>
        <w:rPr>
          <w:rFonts w:hint="eastAsia" w:ascii="宋体" w:hAnsi="宋体" w:cs="仿宋_GB2312"/>
          <w:kern w:val="0"/>
          <w:sz w:val="24"/>
          <w:szCs w:val="24"/>
        </w:rPr>
        <w:t xml:space="preserve">  为进一步规范和加强我校实验室废弃物安全管理，有效防止实验室废弃物污染危害环境，维护校园环境和公共安全，保障我校师生员工的身体健康，根据《中华人民共和国环境保护法》《废弃危险化学品污染环境防治办法》等相关法律法规，特制定本办法。</w:t>
      </w: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第二条</w:t>
      </w:r>
      <w:r>
        <w:rPr>
          <w:rFonts w:hint="eastAsia" w:ascii="宋体" w:hAnsi="宋体" w:cs="仿宋_GB2312"/>
          <w:kern w:val="0"/>
          <w:sz w:val="24"/>
          <w:szCs w:val="24"/>
        </w:rPr>
        <w:t xml:space="preserve">  本办法中所称的实验室废弃物，是指实验室在教学、科研等活动过程中所产生的有害人体健康、污染环境或存在安全隐患的三废(废气、废液、废固)物质。包括用于实验剧毒物品及麻醉品、药品的残留物，放射性废弃物等列入《国家危险废物名录》或根据国家规定的危险废物鉴别标准和鉴别方法认定的废弃物及其污染物。</w:t>
      </w:r>
    </w:p>
    <w:p>
      <w:pPr>
        <w:spacing w:line="560" w:lineRule="exact"/>
        <w:ind w:firstLine="120" w:firstLineChars="50"/>
        <w:jc w:val="left"/>
        <w:rPr>
          <w:rFonts w:ascii="宋体" w:hAnsi="宋体" w:cs="仿宋_GB2312"/>
          <w:kern w:val="0"/>
          <w:sz w:val="24"/>
          <w:szCs w:val="24"/>
        </w:rPr>
      </w:pPr>
      <w:r>
        <w:rPr>
          <w:rFonts w:hint="eastAsia" w:ascii="宋体" w:hAnsi="宋体" w:cs="仿宋_GB2312"/>
          <w:kern w:val="0"/>
          <w:sz w:val="24"/>
          <w:szCs w:val="24"/>
        </w:rPr>
        <w:t xml:space="preserve">  </w:t>
      </w:r>
      <w:r>
        <w:rPr>
          <w:rFonts w:hint="eastAsia" w:ascii="宋体" w:hAnsi="宋体" w:cs="仿宋_GB2312"/>
          <w:b/>
          <w:bCs/>
          <w:kern w:val="0"/>
          <w:sz w:val="24"/>
          <w:szCs w:val="24"/>
        </w:rPr>
        <w:t xml:space="preserve"> 第三条 </w:t>
      </w:r>
      <w:r>
        <w:rPr>
          <w:rFonts w:hint="eastAsia" w:ascii="宋体" w:hAnsi="宋体" w:cs="仿宋_GB2312"/>
          <w:kern w:val="0"/>
          <w:sz w:val="24"/>
          <w:szCs w:val="24"/>
        </w:rPr>
        <w:t xml:space="preserve"> 实验室废弃物管理工作遵循“专人管理、分类收集、安全存放、集中处置”的原则。凡在校内进行教学、科研、社会服务等活动中涉及实验室废弃物的单位与个人，均适用本办法。</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第二章  管理机构与职责</w:t>
      </w: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第四条</w:t>
      </w:r>
      <w:r>
        <w:rPr>
          <w:rFonts w:hint="eastAsia" w:ascii="宋体" w:hAnsi="宋体" w:cs="仿宋_GB2312"/>
          <w:kern w:val="0"/>
          <w:sz w:val="24"/>
          <w:szCs w:val="24"/>
        </w:rPr>
        <w:t xml:space="preserve">  实验室废弃物处置实行学校、二级单位（包括合作单位）和实验室三级管理体制。</w:t>
      </w: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第五条</w:t>
      </w:r>
      <w:r>
        <w:rPr>
          <w:rFonts w:hint="eastAsia" w:ascii="宋体" w:hAnsi="宋体" w:cs="仿宋_GB2312"/>
          <w:kern w:val="0"/>
          <w:sz w:val="24"/>
          <w:szCs w:val="24"/>
        </w:rPr>
        <w:t xml:space="preserve">  实验室与设备管理处是实验室废弃物处置管理的校级职能部门。负责指导、监督、检查各二级单位的实验室废弃物处置管理工作，并组织协调全校实验室废弃物的集中处置工作。</w:t>
      </w: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第六条</w:t>
      </w:r>
      <w:r>
        <w:rPr>
          <w:rFonts w:hint="eastAsia" w:ascii="宋体" w:hAnsi="宋体" w:cs="仿宋_GB2312"/>
          <w:kern w:val="0"/>
          <w:sz w:val="24"/>
          <w:szCs w:val="24"/>
        </w:rPr>
        <w:t xml:space="preserve">  二级单位是实验室废弃物处置管理的主体责任单位。二级单位行政负责人为第一责任人，负责指导、监督、检查本部门实验室废弃物处置工作；各二级单位分管实验室的领导为直接负责人，负责本单位实验室废弃物处置管理的组织与协调工作，制定本单位实验室废弃物处置工作细则，明确各环节的工作流程，并将管理责任层层落实到位。</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第七条</w:t>
      </w:r>
      <w:r>
        <w:rPr>
          <w:rFonts w:hint="eastAsia" w:ascii="宋体" w:hAnsi="宋体" w:cs="仿宋_GB2312"/>
          <w:kern w:val="0"/>
          <w:sz w:val="24"/>
          <w:szCs w:val="24"/>
        </w:rPr>
        <w:t xml:space="preserve">  各二级单位必须落实专人具体负责本单位所属实验室废弃物的收集、暂存、转运与处理以及做好发现问题及时整改等工作,各实验室实行“教学类实验室由实验室安全责任人负责，科研类实验室由使用人负责”的分类负责制，并做好实验室废弃物处置管理与监督工作。</w:t>
      </w:r>
    </w:p>
    <w:p>
      <w:pPr>
        <w:spacing w:line="560" w:lineRule="exact"/>
        <w:ind w:firstLine="482" w:firstLineChars="200"/>
        <w:rPr>
          <w:rFonts w:ascii="宋体" w:hAnsi="宋体" w:cs="仿宋_GB2312"/>
          <w:sz w:val="24"/>
          <w:szCs w:val="24"/>
        </w:rPr>
      </w:pPr>
      <w:r>
        <w:rPr>
          <w:rFonts w:hint="eastAsia" w:ascii="宋体" w:hAnsi="宋体" w:cs="仿宋_GB2312"/>
          <w:b/>
          <w:bCs/>
          <w:kern w:val="0"/>
          <w:sz w:val="24"/>
          <w:szCs w:val="24"/>
        </w:rPr>
        <w:t xml:space="preserve">第八条 </w:t>
      </w:r>
      <w:r>
        <w:rPr>
          <w:rFonts w:hint="eastAsia" w:ascii="宋体" w:hAnsi="宋体" w:cs="仿宋_GB2312"/>
          <w:sz w:val="24"/>
          <w:szCs w:val="24"/>
        </w:rPr>
        <w:t xml:space="preserve"> 各实验室必须严格按照本办法的规定处置实验室废弃物，对于违反规定随意抛弃废物、倾倒废液或违规操作而造成不良后果的单位或个人，学校将依据《衢州学院实验室安全责任追究暂行办法》追究相应责任。</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第三章  实验室废弃物的分类</w:t>
      </w:r>
    </w:p>
    <w:p>
      <w:pPr>
        <w:spacing w:line="560" w:lineRule="exact"/>
        <w:ind w:firstLine="120" w:firstLineChars="50"/>
        <w:jc w:val="left"/>
        <w:rPr>
          <w:rFonts w:ascii="宋体" w:hAnsi="宋体" w:cs="仿宋_GB2312"/>
          <w:kern w:val="0"/>
          <w:sz w:val="24"/>
          <w:szCs w:val="24"/>
        </w:rPr>
      </w:pPr>
      <w:r>
        <w:rPr>
          <w:rFonts w:hint="eastAsia" w:ascii="宋体" w:hAnsi="宋体" w:cs="仿宋_GB2312"/>
          <w:b/>
          <w:kern w:val="0"/>
          <w:sz w:val="24"/>
          <w:szCs w:val="24"/>
        </w:rPr>
        <w:t xml:space="preserve"> </w:t>
      </w:r>
      <w:r>
        <w:rPr>
          <w:rFonts w:hint="eastAsia" w:ascii="宋体" w:hAnsi="宋体" w:cs="仿宋_GB2312"/>
          <w:kern w:val="0"/>
          <w:sz w:val="24"/>
          <w:szCs w:val="24"/>
        </w:rPr>
        <w:t xml:space="preserve"> </w:t>
      </w:r>
      <w:r>
        <w:rPr>
          <w:rFonts w:hint="eastAsia" w:ascii="宋体" w:hAnsi="宋体" w:cs="仿宋_GB2312"/>
          <w:b/>
          <w:bCs/>
          <w:kern w:val="0"/>
          <w:sz w:val="24"/>
          <w:szCs w:val="24"/>
        </w:rPr>
        <w:t xml:space="preserve"> 第九条</w:t>
      </w:r>
      <w:r>
        <w:rPr>
          <w:rFonts w:hint="eastAsia" w:ascii="宋体" w:hAnsi="宋体" w:cs="仿宋_GB2312"/>
          <w:kern w:val="0"/>
          <w:sz w:val="24"/>
          <w:szCs w:val="24"/>
        </w:rPr>
        <w:t xml:space="preserve">  实验室废弃物包括危险废弃物和一般废弃物。</w:t>
      </w:r>
    </w:p>
    <w:p>
      <w:pPr>
        <w:spacing w:line="560" w:lineRule="exact"/>
        <w:ind w:firstLine="480" w:firstLineChars="200"/>
        <w:jc w:val="left"/>
        <w:rPr>
          <w:rFonts w:ascii="宋体" w:hAnsi="宋体" w:cs="仿宋_GB2312"/>
          <w:kern w:val="0"/>
          <w:sz w:val="24"/>
          <w:szCs w:val="24"/>
        </w:rPr>
      </w:pPr>
      <w:r>
        <w:rPr>
          <w:rFonts w:hint="eastAsia" w:ascii="宋体" w:hAnsi="宋体" w:cs="仿宋_GB2312"/>
          <w:kern w:val="0"/>
          <w:sz w:val="24"/>
          <w:szCs w:val="24"/>
        </w:rPr>
        <w:t>（一）危险废弃物是指具有腐蚀性、毒性、易燃性、反应性或者感染性等一种或几种危险特性的废弃物；不排除具有危险特性，可能对环境或人体健康造成有害影响的废弃物。</w:t>
      </w:r>
    </w:p>
    <w:p>
      <w:pPr>
        <w:spacing w:line="560" w:lineRule="exact"/>
        <w:ind w:firstLine="480" w:firstLineChars="200"/>
        <w:jc w:val="left"/>
        <w:rPr>
          <w:rFonts w:ascii="宋体" w:hAnsi="宋体" w:cs="仿宋_GB2312"/>
          <w:kern w:val="0"/>
          <w:sz w:val="24"/>
          <w:szCs w:val="24"/>
        </w:rPr>
      </w:pPr>
      <w:r>
        <w:rPr>
          <w:rFonts w:hint="eastAsia" w:ascii="宋体" w:hAnsi="宋体" w:cs="仿宋_GB2312"/>
          <w:kern w:val="0"/>
          <w:sz w:val="24"/>
          <w:szCs w:val="24"/>
        </w:rPr>
        <w:t>（二）一般废弃物是指实验室产生的除上述以外情形的废弃物。</w:t>
      </w:r>
    </w:p>
    <w:p>
      <w:pPr>
        <w:spacing w:line="560" w:lineRule="exact"/>
        <w:ind w:firstLine="482" w:firstLineChars="200"/>
        <w:jc w:val="left"/>
        <w:rPr>
          <w:rFonts w:ascii="宋体" w:hAnsi="宋体" w:cs="仿宋_GB2312"/>
          <w:kern w:val="0"/>
          <w:sz w:val="24"/>
          <w:szCs w:val="24"/>
        </w:rPr>
      </w:pPr>
      <w:r>
        <w:rPr>
          <w:rFonts w:hint="eastAsia" w:ascii="宋体" w:hAnsi="宋体" w:cs="仿宋_GB2312"/>
          <w:b/>
          <w:bCs/>
          <w:kern w:val="0"/>
          <w:sz w:val="24"/>
          <w:szCs w:val="24"/>
        </w:rPr>
        <w:t xml:space="preserve">第十条 </w:t>
      </w:r>
      <w:r>
        <w:rPr>
          <w:rFonts w:hint="eastAsia" w:ascii="宋体" w:hAnsi="宋体" w:cs="仿宋_GB2312"/>
          <w:sz w:val="24"/>
          <w:szCs w:val="24"/>
        </w:rPr>
        <w:t xml:space="preserve"> 实验室危险废弃物</w:t>
      </w:r>
      <w:r>
        <w:rPr>
          <w:rFonts w:hint="eastAsia" w:ascii="宋体" w:hAnsi="宋体" w:cs="仿宋_GB2312"/>
          <w:kern w:val="0"/>
          <w:sz w:val="24"/>
          <w:szCs w:val="24"/>
        </w:rPr>
        <w:t>根据来源和性质不同可分为以下几类：</w:t>
      </w:r>
    </w:p>
    <w:p>
      <w:pPr>
        <w:spacing w:line="560" w:lineRule="exact"/>
        <w:ind w:firstLine="480" w:firstLineChars="200"/>
        <w:jc w:val="left"/>
        <w:rPr>
          <w:rFonts w:ascii="宋体" w:hAnsi="宋体" w:cs="仿宋_GB2312"/>
          <w:kern w:val="0"/>
          <w:sz w:val="24"/>
          <w:szCs w:val="24"/>
        </w:rPr>
      </w:pPr>
      <w:r>
        <w:rPr>
          <w:rFonts w:hint="eastAsia" w:ascii="宋体" w:hAnsi="宋体" w:cs="仿宋_GB2312"/>
          <w:kern w:val="0"/>
          <w:sz w:val="24"/>
          <w:szCs w:val="24"/>
        </w:rPr>
        <w:t>（一）化学危险废弃物：剧毒化学品及不明物、高危化学品、一般化学品、一般化学废液、被化学品污染的固体废物；</w:t>
      </w:r>
    </w:p>
    <w:p>
      <w:pPr>
        <w:spacing w:line="560" w:lineRule="exact"/>
        <w:ind w:firstLine="480" w:firstLineChars="200"/>
        <w:jc w:val="left"/>
        <w:rPr>
          <w:rFonts w:ascii="宋体" w:hAnsi="宋体" w:cs="仿宋_GB2312"/>
          <w:kern w:val="0"/>
          <w:sz w:val="24"/>
          <w:szCs w:val="24"/>
        </w:rPr>
      </w:pPr>
      <w:r>
        <w:rPr>
          <w:rFonts w:hint="eastAsia" w:ascii="宋体" w:hAnsi="宋体" w:cs="仿宋_GB2312"/>
          <w:kern w:val="0"/>
          <w:sz w:val="24"/>
          <w:szCs w:val="24"/>
        </w:rPr>
        <w:t>（二）生物危险废弃物：实验动物尸体、肢体和组织；生物实验器材与耗材；其他生物废液；</w:t>
      </w:r>
    </w:p>
    <w:p>
      <w:pPr>
        <w:spacing w:line="560" w:lineRule="exact"/>
        <w:ind w:firstLine="480" w:firstLineChars="200"/>
        <w:jc w:val="left"/>
        <w:rPr>
          <w:rFonts w:ascii="宋体" w:hAnsi="宋体" w:cs="仿宋_GB2312"/>
          <w:kern w:val="0"/>
          <w:sz w:val="24"/>
          <w:szCs w:val="24"/>
        </w:rPr>
      </w:pPr>
      <w:r>
        <w:rPr>
          <w:rFonts w:hint="eastAsia" w:ascii="宋体" w:hAnsi="宋体" w:cs="仿宋_GB2312"/>
          <w:kern w:val="0"/>
          <w:sz w:val="24"/>
          <w:szCs w:val="24"/>
        </w:rPr>
        <w:t>（三）电离辐射危险废弃物：放射源、放射性废弃物、废弃放射性装置；</w:t>
      </w:r>
    </w:p>
    <w:p>
      <w:pPr>
        <w:spacing w:line="560" w:lineRule="exact"/>
        <w:ind w:firstLine="480" w:firstLineChars="200"/>
        <w:jc w:val="left"/>
        <w:rPr>
          <w:rFonts w:ascii="宋体" w:hAnsi="宋体" w:cs="仿宋_GB2312"/>
          <w:kern w:val="0"/>
          <w:sz w:val="24"/>
          <w:szCs w:val="24"/>
        </w:rPr>
      </w:pPr>
      <w:r>
        <w:rPr>
          <w:rFonts w:hint="eastAsia" w:ascii="宋体" w:hAnsi="宋体" w:cs="仿宋_GB2312"/>
          <w:kern w:val="0"/>
          <w:sz w:val="24"/>
          <w:szCs w:val="24"/>
        </w:rPr>
        <w:t>（四）其他危险废弃物。</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第四章  实验室废弃物的收集、存放与处置</w:t>
      </w:r>
    </w:p>
    <w:p>
      <w:pPr>
        <w:spacing w:line="560" w:lineRule="exact"/>
        <w:ind w:firstLine="482" w:firstLineChars="200"/>
        <w:jc w:val="left"/>
        <w:rPr>
          <w:rFonts w:ascii="宋体" w:hAnsi="宋体" w:cs="仿宋_GB2312"/>
          <w:kern w:val="0"/>
          <w:sz w:val="24"/>
          <w:szCs w:val="24"/>
        </w:rPr>
      </w:pPr>
      <w:r>
        <w:rPr>
          <w:rFonts w:hint="eastAsia" w:ascii="宋体" w:hAnsi="宋体" w:cs="仿宋_GB2312"/>
          <w:b/>
          <w:bCs/>
          <w:kern w:val="0"/>
          <w:sz w:val="24"/>
          <w:szCs w:val="24"/>
        </w:rPr>
        <w:t>第十一条</w:t>
      </w:r>
      <w:r>
        <w:rPr>
          <w:rFonts w:hint="eastAsia" w:ascii="宋体" w:hAnsi="宋体" w:cs="仿宋_GB2312"/>
          <w:kern w:val="0"/>
          <w:sz w:val="24"/>
          <w:szCs w:val="24"/>
        </w:rPr>
        <w:t xml:space="preserve">  实验室废弃物必须分类收集、存放与处置。不得将危险废弃物与生活垃圾和其他一般废弃物混放；不得将化学危险废弃物、放射性废弃物及实验动物尸体等混合收集、存放、处理；严禁随意倾倒、堆放、丢弃、遗撒实验室废弃物。 </w:t>
      </w:r>
    </w:p>
    <w:p>
      <w:pPr>
        <w:spacing w:line="560" w:lineRule="exact"/>
        <w:ind w:firstLine="482" w:firstLineChars="200"/>
        <w:jc w:val="left"/>
        <w:rPr>
          <w:rFonts w:ascii="宋体" w:hAnsi="宋体" w:cs="仿宋_GB2312"/>
          <w:sz w:val="24"/>
          <w:szCs w:val="24"/>
        </w:rPr>
      </w:pPr>
      <w:r>
        <w:rPr>
          <w:rFonts w:hint="eastAsia" w:ascii="宋体" w:hAnsi="宋体" w:cs="仿宋_GB2312"/>
          <w:b/>
          <w:bCs/>
          <w:kern w:val="0"/>
          <w:sz w:val="24"/>
          <w:szCs w:val="24"/>
        </w:rPr>
        <w:t>第十二条</w:t>
      </w:r>
      <w:r>
        <w:rPr>
          <w:rFonts w:hint="eastAsia" w:ascii="宋体" w:hAnsi="宋体" w:cs="仿宋_GB2312"/>
          <w:kern w:val="0"/>
          <w:sz w:val="24"/>
          <w:szCs w:val="24"/>
        </w:rPr>
        <w:t xml:space="preserve">  </w:t>
      </w:r>
      <w:r>
        <w:rPr>
          <w:rFonts w:hint="eastAsia" w:ascii="宋体" w:hAnsi="宋体" w:cs="仿宋_GB2312"/>
          <w:sz w:val="24"/>
          <w:szCs w:val="24"/>
        </w:rPr>
        <w:t>实验室一般废弃物按环卫部门和学校相关规定进行</w:t>
      </w:r>
      <w:r>
        <w:rPr>
          <w:rFonts w:hint="eastAsia" w:ascii="宋体" w:hAnsi="宋体" w:cs="仿宋_GB2312"/>
          <w:kern w:val="0"/>
          <w:sz w:val="24"/>
          <w:szCs w:val="24"/>
        </w:rPr>
        <w:t>收集、存放</w:t>
      </w:r>
      <w:r>
        <w:rPr>
          <w:rFonts w:hint="eastAsia" w:ascii="宋体" w:hAnsi="宋体" w:cs="仿宋_GB2312"/>
          <w:sz w:val="24"/>
          <w:szCs w:val="24"/>
        </w:rPr>
        <w:t>，由学校后勤部门统一处置。</w:t>
      </w:r>
    </w:p>
    <w:p>
      <w:pPr>
        <w:spacing w:line="560" w:lineRule="exact"/>
        <w:ind w:firstLine="482" w:firstLineChars="200"/>
        <w:jc w:val="left"/>
        <w:rPr>
          <w:rFonts w:ascii="宋体" w:hAnsi="宋体" w:cs="仿宋_GB2312"/>
          <w:sz w:val="24"/>
          <w:szCs w:val="24"/>
        </w:rPr>
      </w:pPr>
      <w:r>
        <w:rPr>
          <w:rFonts w:hint="eastAsia" w:ascii="宋体" w:hAnsi="宋体" w:cs="仿宋_GB2312"/>
          <w:b/>
          <w:bCs/>
          <w:kern w:val="0"/>
          <w:sz w:val="24"/>
          <w:szCs w:val="24"/>
        </w:rPr>
        <w:t>第十三条</w:t>
      </w:r>
      <w:r>
        <w:rPr>
          <w:rFonts w:hint="eastAsia" w:ascii="宋体" w:hAnsi="宋体" w:cs="仿宋_GB2312"/>
          <w:kern w:val="0"/>
          <w:sz w:val="24"/>
          <w:szCs w:val="24"/>
        </w:rPr>
        <w:t xml:space="preserve">  实验室危险废弃物按以下规定进行收集、移送、存放与处置：</w:t>
      </w:r>
    </w:p>
    <w:p>
      <w:pPr>
        <w:spacing w:line="560" w:lineRule="exact"/>
        <w:ind w:firstLine="480" w:firstLineChars="200"/>
        <w:rPr>
          <w:rFonts w:ascii="宋体" w:hAnsi="宋体" w:cs="仿宋_GB2312"/>
          <w:kern w:val="0"/>
          <w:sz w:val="24"/>
          <w:szCs w:val="24"/>
        </w:rPr>
      </w:pPr>
      <w:r>
        <w:rPr>
          <w:rFonts w:hint="eastAsia" w:ascii="宋体" w:hAnsi="宋体" w:cs="仿宋_GB2312"/>
          <w:bCs/>
          <w:kern w:val="0"/>
          <w:sz w:val="24"/>
          <w:szCs w:val="24"/>
        </w:rPr>
        <w:t>(一)</w:t>
      </w:r>
      <w:r>
        <w:rPr>
          <w:rFonts w:hint="eastAsia" w:ascii="宋体" w:hAnsi="宋体" w:cs="仿宋_GB2312"/>
          <w:kern w:val="0"/>
          <w:sz w:val="24"/>
          <w:szCs w:val="24"/>
        </w:rPr>
        <w:t>各实验室将实验室危险废弃物移送至学校废弃物暂存柜暂存前，应认真填写《衢州学院实验室危险废弃物登记表》（附件1），经审核通过后，按申报量送储至学校废弃物暂存柜。</w:t>
      </w:r>
    </w:p>
    <w:p>
      <w:pPr>
        <w:spacing w:line="560" w:lineRule="exact"/>
        <w:ind w:firstLine="480" w:firstLineChars="200"/>
        <w:rPr>
          <w:rFonts w:ascii="宋体" w:hAnsi="宋体" w:cs="仿宋_GB2312"/>
          <w:kern w:val="0"/>
          <w:sz w:val="24"/>
          <w:szCs w:val="24"/>
        </w:rPr>
      </w:pPr>
      <w:r>
        <w:rPr>
          <w:rFonts w:hint="eastAsia" w:ascii="宋体" w:hAnsi="宋体" w:cs="仿宋_GB2312"/>
          <w:bCs/>
          <w:kern w:val="0"/>
          <w:sz w:val="24"/>
          <w:szCs w:val="24"/>
        </w:rPr>
        <w:t>（二）残</w:t>
      </w:r>
      <w:r>
        <w:rPr>
          <w:rFonts w:hint="eastAsia" w:ascii="宋体" w:hAnsi="宋体" w:cs="仿宋_GB2312"/>
          <w:kern w:val="0"/>
          <w:sz w:val="24"/>
          <w:szCs w:val="24"/>
        </w:rPr>
        <w:t>余、废旧剧毒品严格实行“五双”管理制度。处置前须填写《衢州学院废旧剧毒品处置申请表》（附件2），经所在二级单位、实验室与设备管理处审核同意后，由双人随带《衢州学院剧毒化学品实验使用登记表》（附件3）一起送剧毒品暂存柜暂存。</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三）对于化学废弃物应尽量先进行减害性预处理或回收利用，采取措施减少化学废弃物的体积、重量和危险程度，以降低后续处理处置的负荷。化学废弃物回收利用过程应达到国家和地方有关规定的要求，避免二次污染。</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四）直接盛装液体危险废弃物的容器应满足以下要求：容器的材质须与废弃物不互相反应；容器须完好无损，封口严紧，防止在搬运和运输过程中泄漏、遗失；凡盛装液体危险废弃物的容器都必须留有适量的空间，不能超过容量的90％。</w:t>
      </w:r>
    </w:p>
    <w:p>
      <w:pPr>
        <w:spacing w:line="560" w:lineRule="exact"/>
        <w:ind w:firstLine="360" w:firstLineChars="150"/>
        <w:rPr>
          <w:rFonts w:ascii="宋体" w:hAnsi="宋体" w:cs="仿宋_GB2312"/>
          <w:kern w:val="0"/>
          <w:sz w:val="24"/>
          <w:szCs w:val="24"/>
        </w:rPr>
      </w:pPr>
      <w:r>
        <w:rPr>
          <w:rFonts w:hint="eastAsia" w:ascii="宋体" w:hAnsi="宋体" w:cs="仿宋_GB2312"/>
          <w:kern w:val="0"/>
          <w:sz w:val="24"/>
          <w:szCs w:val="24"/>
        </w:rPr>
        <w:t xml:space="preserve"> （五）放射性废物应按国家有关规定统一收储，实验产生的同位素废水、废液应按规定集中贮存，然后请专业公司进行统一处理。排放必须符合国家放射性污染防治标准。</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（六）实验室危险废弃物由学校负责委托具有处理资质的单位进行销毁处理。废弃物要注意及时清理，不得大量囤积。</w:t>
      </w: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第十四条</w:t>
      </w:r>
      <w:r>
        <w:rPr>
          <w:rFonts w:hint="eastAsia" w:ascii="宋体" w:hAnsi="宋体" w:cs="仿宋_GB2312"/>
          <w:kern w:val="0"/>
          <w:sz w:val="24"/>
          <w:szCs w:val="24"/>
        </w:rPr>
        <w:t xml:space="preserve">  校园内其他单位的废弃物，应自行依法收集、存放与处置；如需由学校统一联系清运的，应承担相关费用。</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第五章  附 则</w:t>
      </w:r>
    </w:p>
    <w:p>
      <w:pPr>
        <w:spacing w:line="560" w:lineRule="exact"/>
        <w:ind w:firstLine="482" w:firstLineChars="200"/>
        <w:rPr>
          <w:rFonts w:ascii="宋体" w:hAnsi="宋体" w:cs="仿宋_GB2312"/>
          <w:sz w:val="24"/>
          <w:szCs w:val="24"/>
        </w:rPr>
      </w:pPr>
      <w:r>
        <w:rPr>
          <w:rFonts w:hint="eastAsia" w:ascii="宋体" w:hAnsi="宋体" w:cs="仿宋_GB2312"/>
          <w:b/>
          <w:bCs/>
          <w:kern w:val="0"/>
          <w:sz w:val="24"/>
          <w:szCs w:val="24"/>
        </w:rPr>
        <w:t>第十五条</w:t>
      </w:r>
      <w:r>
        <w:rPr>
          <w:rFonts w:hint="eastAsia" w:ascii="宋体" w:hAnsi="宋体" w:cs="仿宋_GB2312"/>
          <w:sz w:val="24"/>
          <w:szCs w:val="24"/>
        </w:rPr>
        <w:t xml:space="preserve">  本办法未尽事项，按国家有关法律法规与学校有关规定执行。</w:t>
      </w:r>
    </w:p>
    <w:p>
      <w:pPr>
        <w:spacing w:line="560" w:lineRule="exact"/>
        <w:ind w:firstLine="482" w:firstLineChars="200"/>
        <w:rPr>
          <w:rFonts w:ascii="宋体" w:hAnsi="宋体" w:cs="仿宋_GB2312"/>
          <w:kern w:val="0"/>
          <w:sz w:val="24"/>
          <w:szCs w:val="24"/>
        </w:rPr>
      </w:pPr>
      <w:r>
        <w:rPr>
          <w:rFonts w:hint="eastAsia" w:ascii="宋体" w:hAnsi="宋体" w:cs="仿宋_GB2312"/>
          <w:b/>
          <w:bCs/>
          <w:kern w:val="0"/>
          <w:sz w:val="24"/>
          <w:szCs w:val="24"/>
        </w:rPr>
        <w:t>第十六条</w:t>
      </w:r>
      <w:r>
        <w:rPr>
          <w:rFonts w:hint="eastAsia" w:ascii="宋体" w:hAnsi="宋体" w:cs="仿宋_GB2312"/>
          <w:kern w:val="0"/>
          <w:sz w:val="24"/>
          <w:szCs w:val="24"/>
        </w:rPr>
        <w:t xml:space="preserve">  本办法自公布之日起施行，由实验室与设备管理处负责解释并监督实施。</w:t>
      </w:r>
    </w:p>
    <w:p>
      <w:pPr>
        <w:spacing w:line="560" w:lineRule="exact"/>
        <w:ind w:firstLine="480" w:firstLineChars="200"/>
        <w:rPr>
          <w:rFonts w:ascii="宋体" w:hAnsi="宋体" w:cs="仿宋_GB2312"/>
          <w:kern w:val="0"/>
          <w:sz w:val="24"/>
          <w:szCs w:val="24"/>
        </w:rPr>
      </w:pP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附件：1.衢州学院实验室危险废弃物登记表</w:t>
      </w:r>
    </w:p>
    <w:p>
      <w:pPr>
        <w:spacing w:line="560" w:lineRule="exact"/>
        <w:ind w:firstLine="120" w:firstLineChars="50"/>
        <w:rPr>
          <w:rFonts w:ascii="宋体" w:hAnsi="宋体" w:cs="仿宋_GB2312"/>
          <w:kern w:val="0"/>
          <w:sz w:val="24"/>
          <w:szCs w:val="24"/>
        </w:rPr>
      </w:pPr>
      <w:r>
        <w:rPr>
          <w:rFonts w:hint="eastAsia" w:ascii="宋体" w:hAnsi="宋体" w:cs="仿宋_GB2312"/>
          <w:kern w:val="0"/>
          <w:sz w:val="24"/>
          <w:szCs w:val="24"/>
        </w:rPr>
        <w:t xml:space="preserve">         2.衢州学院废旧剧毒品处置申请表</w:t>
      </w:r>
    </w:p>
    <w:p>
      <w:pPr>
        <w:spacing w:line="560" w:lineRule="exact"/>
        <w:ind w:firstLine="120" w:firstLineChars="50"/>
        <w:rPr>
          <w:rFonts w:ascii="宋体" w:hAnsi="宋体" w:cs="仿宋_GB2312"/>
          <w:kern w:val="0"/>
          <w:sz w:val="24"/>
          <w:szCs w:val="24"/>
        </w:rPr>
      </w:pPr>
      <w:r>
        <w:rPr>
          <w:rFonts w:hint="eastAsia" w:ascii="宋体" w:hAnsi="宋体" w:cs="仿宋_GB2312"/>
          <w:kern w:val="0"/>
          <w:sz w:val="24"/>
          <w:szCs w:val="24"/>
        </w:rPr>
        <w:t xml:space="preserve">         3.衢州学院剧毒化学品实验使用登记表</w:t>
      </w:r>
    </w:p>
    <w:p>
      <w:pPr>
        <w:spacing w:line="480" w:lineRule="exact"/>
        <w:ind w:firstLine="120" w:firstLineChars="50"/>
        <w:rPr>
          <w:rFonts w:asciiTheme="majorEastAsia" w:hAnsiTheme="majorEastAsia" w:eastAsiaTheme="majorEastAsia"/>
          <w:kern w:val="0"/>
          <w:sz w:val="24"/>
        </w:rPr>
      </w:pPr>
      <w:r>
        <w:rPr>
          <w:rFonts w:asciiTheme="majorEastAsia" w:hAnsiTheme="majorEastAsia" w:eastAsiaTheme="majorEastAsia"/>
          <w:kern w:val="0"/>
          <w:sz w:val="24"/>
        </w:rPr>
        <w:br w:type="page"/>
      </w:r>
    </w:p>
    <w:p>
      <w:pPr>
        <w:rPr>
          <w:rFonts w:ascii="黑体" w:hAnsi="黑体" w:eastAsia="黑体" w:cs="黑体"/>
          <w:kern w:val="0"/>
          <w:sz w:val="32"/>
          <w:szCs w:val="32"/>
        </w:rPr>
      </w:pPr>
      <w:r>
        <w:rPr>
          <w:rFonts w:hint="eastAsia" w:ascii="黑体" w:hAnsi="黑体" w:eastAsia="黑体" w:cs="黑体"/>
          <w:kern w:val="0"/>
          <w:sz w:val="32"/>
          <w:szCs w:val="32"/>
        </w:rPr>
        <w:t>附件1</w:t>
      </w:r>
    </w:p>
    <w:p>
      <w:pPr>
        <w:jc w:val="center"/>
        <w:rPr>
          <w:rFonts w:ascii="仿宋_GB2312" w:hAnsi="宋体" w:eastAsia="仿宋_GB2312"/>
          <w:sz w:val="24"/>
        </w:rPr>
      </w:pPr>
      <w:r>
        <w:rPr>
          <w:rFonts w:hint="eastAsia" w:ascii="仿宋_GB2312" w:hAnsi="宋体" w:eastAsia="仿宋_GB2312"/>
          <w:b/>
          <w:sz w:val="36"/>
          <w:szCs w:val="36"/>
        </w:rPr>
        <w:t>衢州学院实验室危险废弃物登记表</w:t>
      </w:r>
      <w:r>
        <w:rPr>
          <w:rFonts w:hint="eastAsia" w:ascii="仿宋_GB2312" w:hAnsi="宋体" w:eastAsia="仿宋_GB2312"/>
          <w:sz w:val="24"/>
        </w:rPr>
        <w:t>（第一联）</w:t>
      </w:r>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65"/>
        <w:gridCol w:w="1234"/>
        <w:gridCol w:w="609"/>
        <w:gridCol w:w="832"/>
        <w:gridCol w:w="585"/>
        <w:gridCol w:w="1139"/>
        <w:gridCol w:w="906"/>
        <w:gridCol w:w="295"/>
        <w:gridCol w:w="845"/>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8" w:type="dxa"/>
            <w:tcMar>
              <w:left w:w="34" w:type="dxa"/>
              <w:right w:w="34" w:type="dxa"/>
            </w:tcMar>
            <w:vAlign w:val="center"/>
          </w:tcPr>
          <w:p>
            <w:pPr>
              <w:ind w:firstLine="120" w:firstLineChars="50"/>
              <w:rPr>
                <w:rFonts w:ascii="仿宋_GB2312" w:hAnsi="宋体" w:eastAsia="仿宋_GB2312"/>
                <w:sz w:val="24"/>
              </w:rPr>
            </w:pPr>
            <w:r>
              <w:rPr>
                <w:rFonts w:hint="eastAsia" w:ascii="仿宋_GB2312" w:hAnsi="宋体" w:eastAsia="仿宋_GB2312"/>
                <w:sz w:val="24"/>
              </w:rPr>
              <w:t>二级单位</w:t>
            </w:r>
          </w:p>
        </w:tc>
        <w:tc>
          <w:tcPr>
            <w:tcW w:w="1799"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sz w:val="24"/>
              </w:rPr>
            </w:pPr>
            <w:r>
              <w:rPr>
                <w:rFonts w:hint="eastAsia" w:ascii="仿宋_GB2312" w:hAnsi="宋体" w:eastAsia="仿宋_GB2312"/>
                <w:sz w:val="24"/>
              </w:rPr>
              <w:t>实 验 室</w:t>
            </w: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c>
          <w:tcPr>
            <w:tcW w:w="1201" w:type="dxa"/>
            <w:gridSpan w:val="2"/>
            <w:tcMar>
              <w:left w:w="34" w:type="dxa"/>
              <w:right w:w="34" w:type="dxa"/>
            </w:tcMar>
            <w:vAlign w:val="center"/>
          </w:tcPr>
          <w:p>
            <w:pPr>
              <w:ind w:firstLine="120" w:firstLineChars="50"/>
              <w:rPr>
                <w:rFonts w:ascii="仿宋_GB2312" w:hAnsi="宋体" w:eastAsia="仿宋_GB2312"/>
                <w:sz w:val="24"/>
              </w:rPr>
            </w:pPr>
            <w:r>
              <w:rPr>
                <w:rFonts w:hint="eastAsia" w:ascii="仿宋_GB2312" w:hAnsi="宋体" w:eastAsia="仿宋_GB2312"/>
                <w:sz w:val="24"/>
              </w:rPr>
              <w:t>送储日期</w:t>
            </w: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8" w:type="dxa"/>
            <w:tcMar>
              <w:left w:w="34" w:type="dxa"/>
              <w:right w:w="34" w:type="dxa"/>
            </w:tcMar>
            <w:vAlign w:val="center"/>
          </w:tcPr>
          <w:p>
            <w:pPr>
              <w:ind w:firstLine="120" w:firstLineChars="50"/>
              <w:rPr>
                <w:rFonts w:ascii="仿宋_GB2312" w:hAnsi="宋体" w:eastAsia="仿宋_GB2312"/>
                <w:kern w:val="0"/>
                <w:sz w:val="24"/>
              </w:rPr>
            </w:pPr>
            <w:r>
              <w:rPr>
                <w:rFonts w:hint="eastAsia" w:ascii="仿宋_GB2312" w:hAnsi="宋体" w:eastAsia="仿宋_GB2312"/>
                <w:sz w:val="24"/>
              </w:rPr>
              <w:t>送 储 人</w:t>
            </w:r>
          </w:p>
        </w:tc>
        <w:tc>
          <w:tcPr>
            <w:tcW w:w="179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r>
              <w:rPr>
                <w:rFonts w:hint="eastAsia" w:ascii="仿宋_GB2312" w:hAnsi="宋体" w:eastAsia="仿宋_GB2312"/>
                <w:sz w:val="24"/>
              </w:rPr>
              <w:t>手机号码</w:t>
            </w: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r>
              <w:rPr>
                <w:rFonts w:hint="eastAsia" w:ascii="仿宋_GB2312" w:hAnsi="宋体" w:eastAsia="仿宋_GB2312"/>
                <w:sz w:val="24"/>
              </w:rPr>
              <w:t>地址</w:t>
            </w: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57" w:type="dxa"/>
            <w:gridSpan w:val="3"/>
            <w:tcMar>
              <w:left w:w="34" w:type="dxa"/>
              <w:right w:w="34" w:type="dxa"/>
            </w:tcMar>
            <w:vAlign w:val="center"/>
          </w:tcPr>
          <w:p>
            <w:pPr>
              <w:ind w:firstLine="120" w:firstLineChars="50"/>
              <w:rPr>
                <w:rFonts w:ascii="仿宋_GB2312" w:hAnsi="宋体" w:eastAsia="仿宋_GB2312"/>
                <w:sz w:val="24"/>
              </w:rPr>
            </w:pPr>
            <w:r>
              <w:rPr>
                <w:rFonts w:hint="eastAsia" w:ascii="仿宋_GB2312" w:hAnsi="宋体" w:eastAsia="仿宋_GB2312"/>
                <w:sz w:val="24"/>
              </w:rPr>
              <w:t>废弃物名称</w:t>
            </w: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sz w:val="24"/>
              </w:rPr>
            </w:pPr>
            <w:r>
              <w:rPr>
                <w:rFonts w:hint="eastAsia" w:ascii="仿宋_GB2312" w:hAnsi="宋体" w:eastAsia="仿宋_GB2312"/>
                <w:kern w:val="0"/>
                <w:sz w:val="24"/>
              </w:rPr>
              <w:t>化学性质</w:t>
            </w: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sz w:val="24"/>
              </w:rPr>
            </w:pPr>
            <w:r>
              <w:rPr>
                <w:rFonts w:hint="eastAsia" w:ascii="仿宋_GB2312" w:hAnsi="宋体" w:eastAsia="仿宋_GB2312"/>
                <w:sz w:val="24"/>
              </w:rPr>
              <w:t>容器及规格</w:t>
            </w: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r>
              <w:rPr>
                <w:rFonts w:hint="eastAsia" w:ascii="仿宋_GB2312" w:hAnsi="宋体" w:eastAsia="仿宋_GB2312"/>
                <w:sz w:val="24"/>
              </w:rPr>
              <w:t>重量(kg)</w:t>
            </w: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057"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057"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057" w:type="dxa"/>
            <w:gridSpan w:val="3"/>
            <w:tcMar>
              <w:left w:w="34" w:type="dxa"/>
              <w:right w:w="34" w:type="dxa"/>
            </w:tcMar>
            <w:vAlign w:val="center"/>
          </w:tcPr>
          <w:p>
            <w:pPr>
              <w:ind w:firstLine="120" w:firstLineChars="50"/>
              <w:rPr>
                <w:rFonts w:ascii="仿宋_GB2312" w:hAnsi="宋体" w:eastAsia="仿宋_GB2312"/>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57"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057"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01"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8"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823" w:type="dxa"/>
            <w:gridSpan w:val="2"/>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kern w:val="0"/>
                <w:sz w:val="24"/>
              </w:rPr>
              <w:t>送储部门</w:t>
            </w:r>
          </w:p>
          <w:p>
            <w:pPr>
              <w:ind w:firstLine="120" w:firstLineChars="50"/>
              <w:jc w:val="center"/>
              <w:rPr>
                <w:rFonts w:ascii="仿宋_GB2312" w:hAnsi="宋体" w:eastAsia="仿宋_GB2312"/>
                <w:kern w:val="0"/>
                <w:sz w:val="24"/>
              </w:rPr>
            </w:pPr>
            <w:r>
              <w:rPr>
                <w:rFonts w:hint="eastAsia" w:ascii="仿宋_GB2312" w:hAnsi="宋体" w:eastAsia="仿宋_GB2312"/>
                <w:kern w:val="0"/>
                <w:sz w:val="24"/>
              </w:rPr>
              <w:t>审    核</w:t>
            </w:r>
          </w:p>
        </w:tc>
        <w:tc>
          <w:tcPr>
            <w:tcW w:w="1843" w:type="dxa"/>
            <w:gridSpan w:val="2"/>
            <w:vAlign w:val="center"/>
          </w:tcPr>
          <w:p>
            <w:pPr>
              <w:rPr>
                <w:rFonts w:ascii="仿宋_GB2312" w:hAnsi="宋体" w:eastAsia="仿宋_GB2312"/>
                <w:kern w:val="0"/>
                <w:sz w:val="24"/>
              </w:rPr>
            </w:pPr>
          </w:p>
        </w:tc>
        <w:tc>
          <w:tcPr>
            <w:tcW w:w="1417" w:type="dxa"/>
            <w:gridSpan w:val="2"/>
            <w:vAlign w:val="center"/>
          </w:tcPr>
          <w:p>
            <w:pPr>
              <w:widowControl/>
              <w:ind w:firstLine="120" w:firstLineChars="50"/>
              <w:jc w:val="left"/>
              <w:rPr>
                <w:rFonts w:ascii="仿宋_GB2312" w:hAnsi="宋体" w:eastAsia="仿宋_GB2312"/>
                <w:kern w:val="0"/>
                <w:sz w:val="24"/>
              </w:rPr>
            </w:pPr>
            <w:r>
              <w:rPr>
                <w:rFonts w:hint="eastAsia" w:ascii="仿宋_GB2312" w:hAnsi="宋体" w:eastAsia="仿宋_GB2312"/>
                <w:kern w:val="0"/>
                <w:sz w:val="24"/>
              </w:rPr>
              <w:t>接收部门</w:t>
            </w:r>
          </w:p>
          <w:p>
            <w:pPr>
              <w:widowControl/>
              <w:ind w:firstLine="120" w:firstLineChars="50"/>
              <w:jc w:val="left"/>
              <w:rPr>
                <w:rFonts w:ascii="仿宋_GB2312" w:hAnsi="宋体" w:eastAsia="仿宋_GB2312"/>
                <w:kern w:val="0"/>
                <w:sz w:val="24"/>
              </w:rPr>
            </w:pPr>
            <w:r>
              <w:rPr>
                <w:rFonts w:hint="eastAsia" w:ascii="仿宋_GB2312" w:hAnsi="宋体" w:eastAsia="仿宋_GB2312"/>
                <w:kern w:val="0"/>
                <w:sz w:val="24"/>
              </w:rPr>
              <w:t>审    核</w:t>
            </w:r>
          </w:p>
        </w:tc>
        <w:tc>
          <w:tcPr>
            <w:tcW w:w="2045" w:type="dxa"/>
            <w:gridSpan w:val="2"/>
            <w:vAlign w:val="center"/>
          </w:tcPr>
          <w:p>
            <w:pPr>
              <w:rPr>
                <w:rFonts w:ascii="仿宋_GB2312" w:hAnsi="宋体" w:eastAsia="仿宋_GB2312"/>
                <w:kern w:val="0"/>
                <w:sz w:val="24"/>
              </w:rPr>
            </w:pPr>
          </w:p>
        </w:tc>
        <w:tc>
          <w:tcPr>
            <w:tcW w:w="1140" w:type="dxa"/>
            <w:gridSpan w:val="2"/>
            <w:vAlign w:val="center"/>
          </w:tcPr>
          <w:p>
            <w:pPr>
              <w:jc w:val="center"/>
              <w:rPr>
                <w:rFonts w:ascii="仿宋_GB2312" w:hAnsi="宋体" w:eastAsia="仿宋_GB2312"/>
                <w:kern w:val="0"/>
                <w:sz w:val="24"/>
              </w:rPr>
            </w:pPr>
            <w:r>
              <w:rPr>
                <w:rFonts w:hint="eastAsia" w:ascii="仿宋_GB2312" w:hAnsi="宋体" w:eastAsia="仿宋_GB2312"/>
                <w:kern w:val="0"/>
                <w:sz w:val="24"/>
              </w:rPr>
              <w:t>收储人签  字</w:t>
            </w:r>
          </w:p>
        </w:tc>
        <w:tc>
          <w:tcPr>
            <w:tcW w:w="1273" w:type="dxa"/>
            <w:vAlign w:val="center"/>
          </w:tcPr>
          <w:p>
            <w:pPr>
              <w:rPr>
                <w:rFonts w:ascii="仿宋_GB2312" w:hAnsi="宋体" w:eastAsia="仿宋_GB2312"/>
                <w:kern w:val="0"/>
                <w:sz w:val="24"/>
              </w:rPr>
            </w:pPr>
          </w:p>
        </w:tc>
      </w:tr>
    </w:tbl>
    <w:p>
      <w:pPr>
        <w:ind w:firstLine="181" w:firstLineChars="50"/>
        <w:rPr>
          <w:rFonts w:ascii="仿宋_GB2312" w:hAnsi="宋体" w:eastAsia="仿宋_GB2312"/>
          <w:b/>
          <w:sz w:val="36"/>
          <w:szCs w:val="36"/>
        </w:rPr>
      </w:pPr>
    </w:p>
    <w:p>
      <w:pPr>
        <w:ind w:firstLine="181" w:firstLineChars="50"/>
        <w:rPr>
          <w:rFonts w:ascii="仿宋_GB2312" w:hAnsi="宋体" w:eastAsia="仿宋_GB2312"/>
          <w:b/>
          <w:sz w:val="36"/>
          <w:szCs w:val="36"/>
        </w:rPr>
      </w:pPr>
    </w:p>
    <w:p>
      <w:pPr>
        <w:jc w:val="center"/>
        <w:rPr>
          <w:rFonts w:ascii="仿宋_GB2312" w:hAnsi="宋体" w:eastAsia="仿宋_GB2312"/>
          <w:sz w:val="24"/>
        </w:rPr>
      </w:pPr>
      <w:r>
        <w:rPr>
          <w:rFonts w:hint="eastAsia" w:ascii="仿宋_GB2312" w:hAnsi="宋体" w:eastAsia="仿宋_GB2312"/>
          <w:b/>
          <w:sz w:val="36"/>
          <w:szCs w:val="36"/>
        </w:rPr>
        <w:t>衢州学院实验室危险废弃物登记表</w:t>
      </w:r>
      <w:r>
        <w:rPr>
          <w:rFonts w:hint="eastAsia" w:ascii="仿宋_GB2312" w:hAnsi="宋体" w:eastAsia="仿宋_GB2312"/>
          <w:sz w:val="24"/>
        </w:rPr>
        <w:t>（第二联）</w:t>
      </w:r>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564"/>
        <w:gridCol w:w="1236"/>
        <w:gridCol w:w="607"/>
        <w:gridCol w:w="834"/>
        <w:gridCol w:w="583"/>
        <w:gridCol w:w="1141"/>
        <w:gridCol w:w="904"/>
        <w:gridCol w:w="294"/>
        <w:gridCol w:w="84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9"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二级单位</w:t>
            </w:r>
          </w:p>
        </w:tc>
        <w:tc>
          <w:tcPr>
            <w:tcW w:w="1800" w:type="dxa"/>
            <w:gridSpan w:val="2"/>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441" w:type="dxa"/>
            <w:gridSpan w:val="2"/>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实 验 室</w:t>
            </w:r>
          </w:p>
        </w:tc>
        <w:tc>
          <w:tcPr>
            <w:tcW w:w="1724" w:type="dxa"/>
            <w:gridSpan w:val="2"/>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198" w:type="dxa"/>
            <w:gridSpan w:val="2"/>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送储日期</w:t>
            </w:r>
          </w:p>
        </w:tc>
        <w:tc>
          <w:tcPr>
            <w:tcW w:w="2119" w:type="dxa"/>
            <w:gridSpan w:val="2"/>
            <w:shd w:val="clear" w:color="auto" w:fill="auto"/>
            <w:tcMar>
              <w:left w:w="34" w:type="dxa"/>
              <w:right w:w="34" w:type="dxa"/>
            </w:tcMar>
            <w:vAlign w:val="center"/>
          </w:tcPr>
          <w:p>
            <w:pPr>
              <w:ind w:firstLine="120" w:firstLineChar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9" w:type="dxa"/>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送 储 人</w:t>
            </w:r>
          </w:p>
        </w:tc>
        <w:tc>
          <w:tcPr>
            <w:tcW w:w="1800" w:type="dxa"/>
            <w:gridSpan w:val="2"/>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手机号码</w:t>
            </w:r>
          </w:p>
        </w:tc>
        <w:tc>
          <w:tcPr>
            <w:tcW w:w="1724" w:type="dxa"/>
            <w:gridSpan w:val="2"/>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p>
        </w:tc>
        <w:tc>
          <w:tcPr>
            <w:tcW w:w="1198" w:type="dxa"/>
            <w:gridSpan w:val="2"/>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kern w:val="0"/>
                <w:sz w:val="24"/>
              </w:rPr>
              <w:t>地    址</w:t>
            </w:r>
          </w:p>
        </w:tc>
        <w:tc>
          <w:tcPr>
            <w:tcW w:w="2119" w:type="dxa"/>
            <w:gridSpan w:val="2"/>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59" w:type="dxa"/>
            <w:gridSpan w:val="3"/>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废弃物名称</w:t>
            </w:r>
          </w:p>
        </w:tc>
        <w:tc>
          <w:tcPr>
            <w:tcW w:w="1441" w:type="dxa"/>
            <w:gridSpan w:val="2"/>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kern w:val="0"/>
                <w:sz w:val="24"/>
              </w:rPr>
              <w:t>化学性质</w:t>
            </w:r>
          </w:p>
        </w:tc>
        <w:tc>
          <w:tcPr>
            <w:tcW w:w="1724" w:type="dxa"/>
            <w:gridSpan w:val="2"/>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容器及规格</w:t>
            </w:r>
          </w:p>
        </w:tc>
        <w:tc>
          <w:tcPr>
            <w:tcW w:w="1198" w:type="dxa"/>
            <w:gridSpan w:val="2"/>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重量(kg)</w:t>
            </w:r>
          </w:p>
        </w:tc>
        <w:tc>
          <w:tcPr>
            <w:tcW w:w="2119" w:type="dxa"/>
            <w:gridSpan w:val="2"/>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059"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198"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059"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198"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059" w:type="dxa"/>
            <w:gridSpan w:val="3"/>
            <w:tcMar>
              <w:left w:w="34" w:type="dxa"/>
              <w:right w:w="34" w:type="dxa"/>
            </w:tcMar>
            <w:vAlign w:val="center"/>
          </w:tcPr>
          <w:p>
            <w:pPr>
              <w:ind w:firstLine="120" w:firstLineChars="50"/>
              <w:rPr>
                <w:rFonts w:ascii="仿宋_GB2312" w:hAnsi="宋体" w:eastAsia="仿宋_GB2312"/>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sz w:val="24"/>
              </w:rPr>
            </w:pPr>
          </w:p>
        </w:tc>
        <w:tc>
          <w:tcPr>
            <w:tcW w:w="1198"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59"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198"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059"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198"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59" w:type="dxa"/>
            <w:gridSpan w:val="3"/>
            <w:tcMar>
              <w:left w:w="34" w:type="dxa"/>
              <w:right w:w="34" w:type="dxa"/>
            </w:tcMar>
            <w:vAlign w:val="center"/>
          </w:tcPr>
          <w:p>
            <w:pPr>
              <w:ind w:firstLine="120" w:firstLineChars="50"/>
              <w:rPr>
                <w:rFonts w:ascii="仿宋_GB2312" w:hAnsi="宋体" w:eastAsia="仿宋_GB2312"/>
                <w:kern w:val="0"/>
                <w:sz w:val="24"/>
              </w:rPr>
            </w:pPr>
          </w:p>
        </w:tc>
        <w:tc>
          <w:tcPr>
            <w:tcW w:w="1441"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198" w:type="dxa"/>
            <w:gridSpan w:val="2"/>
            <w:tcMar>
              <w:left w:w="34" w:type="dxa"/>
              <w:right w:w="34" w:type="dxa"/>
            </w:tcMar>
            <w:vAlign w:val="center"/>
          </w:tcPr>
          <w:p>
            <w:pPr>
              <w:ind w:firstLine="120" w:firstLineChars="50"/>
              <w:rPr>
                <w:rFonts w:ascii="仿宋_GB2312" w:hAnsi="宋体" w:eastAsia="仿宋_GB2312"/>
                <w:kern w:val="0"/>
                <w:sz w:val="24"/>
              </w:rPr>
            </w:pPr>
          </w:p>
        </w:tc>
        <w:tc>
          <w:tcPr>
            <w:tcW w:w="2119" w:type="dxa"/>
            <w:gridSpan w:val="2"/>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823" w:type="dxa"/>
            <w:gridSpan w:val="2"/>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kern w:val="0"/>
                <w:sz w:val="24"/>
              </w:rPr>
              <w:t>送储部门</w:t>
            </w:r>
          </w:p>
          <w:p>
            <w:pPr>
              <w:ind w:firstLine="120" w:firstLineChars="50"/>
              <w:jc w:val="center"/>
              <w:rPr>
                <w:rFonts w:ascii="仿宋_GB2312" w:hAnsi="宋体" w:eastAsia="仿宋_GB2312"/>
                <w:kern w:val="0"/>
                <w:sz w:val="24"/>
              </w:rPr>
            </w:pPr>
            <w:r>
              <w:rPr>
                <w:rFonts w:hint="eastAsia" w:ascii="仿宋_GB2312" w:hAnsi="宋体" w:eastAsia="仿宋_GB2312"/>
                <w:kern w:val="0"/>
                <w:sz w:val="24"/>
              </w:rPr>
              <w:t>审    核</w:t>
            </w:r>
          </w:p>
        </w:tc>
        <w:tc>
          <w:tcPr>
            <w:tcW w:w="1843" w:type="dxa"/>
            <w:gridSpan w:val="2"/>
            <w:vAlign w:val="center"/>
          </w:tcPr>
          <w:p>
            <w:pPr>
              <w:rPr>
                <w:rFonts w:ascii="仿宋_GB2312" w:hAnsi="宋体" w:eastAsia="仿宋_GB2312"/>
                <w:kern w:val="0"/>
                <w:sz w:val="24"/>
              </w:rPr>
            </w:pPr>
          </w:p>
        </w:tc>
        <w:tc>
          <w:tcPr>
            <w:tcW w:w="1417" w:type="dxa"/>
            <w:gridSpan w:val="2"/>
            <w:vAlign w:val="center"/>
          </w:tcPr>
          <w:p>
            <w:pPr>
              <w:widowControl/>
              <w:ind w:firstLine="120" w:firstLineChars="50"/>
              <w:jc w:val="left"/>
              <w:rPr>
                <w:rFonts w:ascii="仿宋_GB2312" w:hAnsi="宋体" w:eastAsia="仿宋_GB2312"/>
                <w:kern w:val="0"/>
                <w:sz w:val="24"/>
              </w:rPr>
            </w:pPr>
            <w:r>
              <w:rPr>
                <w:rFonts w:hint="eastAsia" w:ascii="仿宋_GB2312" w:hAnsi="宋体" w:eastAsia="仿宋_GB2312"/>
                <w:kern w:val="0"/>
                <w:sz w:val="24"/>
              </w:rPr>
              <w:t>接收部门</w:t>
            </w:r>
          </w:p>
          <w:p>
            <w:pPr>
              <w:widowControl/>
              <w:ind w:firstLine="120" w:firstLineChars="50"/>
              <w:jc w:val="left"/>
              <w:rPr>
                <w:rFonts w:ascii="仿宋_GB2312" w:hAnsi="宋体" w:eastAsia="仿宋_GB2312"/>
                <w:kern w:val="0"/>
                <w:sz w:val="24"/>
              </w:rPr>
            </w:pPr>
            <w:r>
              <w:rPr>
                <w:rFonts w:hint="eastAsia" w:ascii="仿宋_GB2312" w:hAnsi="宋体" w:eastAsia="仿宋_GB2312"/>
                <w:kern w:val="0"/>
                <w:sz w:val="24"/>
              </w:rPr>
              <w:t>审    核</w:t>
            </w:r>
          </w:p>
        </w:tc>
        <w:tc>
          <w:tcPr>
            <w:tcW w:w="2045" w:type="dxa"/>
            <w:gridSpan w:val="2"/>
            <w:vAlign w:val="center"/>
          </w:tcPr>
          <w:p>
            <w:pPr>
              <w:rPr>
                <w:rFonts w:ascii="仿宋_GB2312" w:hAnsi="宋体" w:eastAsia="仿宋_GB2312"/>
                <w:kern w:val="0"/>
                <w:sz w:val="24"/>
              </w:rPr>
            </w:pPr>
          </w:p>
        </w:tc>
        <w:tc>
          <w:tcPr>
            <w:tcW w:w="1140" w:type="dxa"/>
            <w:gridSpan w:val="2"/>
            <w:vAlign w:val="center"/>
          </w:tcPr>
          <w:p>
            <w:pPr>
              <w:jc w:val="center"/>
              <w:rPr>
                <w:rFonts w:ascii="仿宋_GB2312" w:hAnsi="宋体" w:eastAsia="仿宋_GB2312"/>
                <w:kern w:val="0"/>
                <w:sz w:val="24"/>
              </w:rPr>
            </w:pPr>
            <w:r>
              <w:rPr>
                <w:rFonts w:hint="eastAsia" w:ascii="仿宋_GB2312" w:hAnsi="宋体" w:eastAsia="仿宋_GB2312"/>
                <w:kern w:val="0"/>
                <w:sz w:val="24"/>
              </w:rPr>
              <w:t>收储人签  字</w:t>
            </w:r>
          </w:p>
        </w:tc>
        <w:tc>
          <w:tcPr>
            <w:tcW w:w="1273" w:type="dxa"/>
            <w:vAlign w:val="center"/>
          </w:tcPr>
          <w:p>
            <w:pPr>
              <w:rPr>
                <w:rFonts w:ascii="仿宋_GB2312" w:hAnsi="宋体" w:eastAsia="仿宋_GB2312"/>
                <w:kern w:val="0"/>
                <w:sz w:val="24"/>
              </w:rPr>
            </w:pPr>
          </w:p>
        </w:tc>
      </w:tr>
    </w:tbl>
    <w:p>
      <w:pPr>
        <w:jc w:val="left"/>
        <w:rPr>
          <w:rFonts w:ascii="仿宋_GB2312" w:hAnsi="宋体" w:eastAsia="仿宋_GB2312"/>
          <w:sz w:val="24"/>
          <w:szCs w:val="24"/>
        </w:rPr>
      </w:pPr>
      <w:r>
        <w:rPr>
          <w:rFonts w:hint="eastAsia" w:ascii="仿宋_GB2312" w:hAnsi="宋体" w:eastAsia="仿宋_GB2312"/>
          <w:sz w:val="24"/>
          <w:szCs w:val="24"/>
        </w:rPr>
        <w:t>注： 1.化学性质包括：易燃、易爆、腐蚀、有毒、其他等。</w:t>
      </w:r>
    </w:p>
    <w:p>
      <w:pPr>
        <w:ind w:left="860" w:leftChars="50" w:hanging="720" w:hangingChars="300"/>
        <w:jc w:val="left"/>
        <w:rPr>
          <w:rFonts w:ascii="仿宋_GB2312" w:hAnsi="宋体" w:eastAsia="仿宋_GB2312"/>
          <w:sz w:val="24"/>
          <w:szCs w:val="24"/>
        </w:rPr>
      </w:pPr>
      <w:r>
        <w:rPr>
          <w:rFonts w:hint="eastAsia" w:ascii="仿宋_GB2312" w:hAnsi="宋体" w:eastAsia="仿宋_GB2312"/>
          <w:sz w:val="24"/>
          <w:szCs w:val="24"/>
        </w:rPr>
        <w:t xml:space="preserve">    2.本表第一联与危险废弃物一起交给现场管理人员，并且第一联需所在二级单位盖章；第二联由二级单位汇总保存，备查。</w:t>
      </w:r>
    </w:p>
    <w:p>
      <w:pPr>
        <w:widowControl/>
        <w:jc w:val="left"/>
        <w:rPr>
          <w:rFonts w:ascii="仿宋_GB2312" w:hAnsi="宋体" w:eastAsia="仿宋_GB2312"/>
        </w:rPr>
      </w:pPr>
      <w:r>
        <w:rPr>
          <w:rFonts w:ascii="仿宋_GB2312" w:hAnsi="宋体" w:eastAsia="仿宋_GB2312"/>
        </w:rPr>
        <w:br w:type="page"/>
      </w:r>
    </w:p>
    <w:p>
      <w:pPr>
        <w:ind w:firstLine="120"/>
        <w:rPr>
          <w:rFonts w:ascii="黑体" w:hAnsi="黑体" w:eastAsia="黑体" w:cs="黑体"/>
          <w:kern w:val="0"/>
          <w:sz w:val="32"/>
          <w:szCs w:val="32"/>
        </w:rPr>
      </w:pPr>
      <w:r>
        <w:rPr>
          <w:rFonts w:hint="eastAsia" w:ascii="黑体" w:hAnsi="黑体" w:eastAsia="黑体" w:cs="黑体"/>
          <w:kern w:val="0"/>
          <w:sz w:val="32"/>
          <w:szCs w:val="32"/>
        </w:rPr>
        <w:t>附件2</w:t>
      </w:r>
    </w:p>
    <w:p>
      <w:pPr>
        <w:jc w:val="center"/>
        <w:rPr>
          <w:rFonts w:ascii="仿宋_GB2312" w:hAnsi="宋体" w:eastAsia="仿宋_GB2312"/>
        </w:rPr>
      </w:pPr>
      <w:r>
        <w:rPr>
          <w:rFonts w:hint="eastAsia" w:ascii="仿宋_GB2312" w:hAnsi="宋体" w:eastAsia="仿宋_GB2312"/>
          <w:b/>
          <w:sz w:val="36"/>
          <w:szCs w:val="36"/>
        </w:rPr>
        <w:t>衢州学院废旧剧毒品处置申请表</w:t>
      </w:r>
    </w:p>
    <w:tbl>
      <w:tblPr>
        <w:tblStyle w:val="1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800"/>
        <w:gridCol w:w="1441"/>
        <w:gridCol w:w="1724"/>
        <w:gridCol w:w="126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二级单位</w:t>
            </w:r>
          </w:p>
        </w:tc>
        <w:tc>
          <w:tcPr>
            <w:tcW w:w="1800"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441" w:type="dxa"/>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实 验 室</w:t>
            </w:r>
          </w:p>
        </w:tc>
        <w:tc>
          <w:tcPr>
            <w:tcW w:w="1724"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260"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送储日期</w:t>
            </w:r>
          </w:p>
        </w:tc>
        <w:tc>
          <w:tcPr>
            <w:tcW w:w="2056"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责任老师</w:t>
            </w:r>
          </w:p>
        </w:tc>
        <w:tc>
          <w:tcPr>
            <w:tcW w:w="1800"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441" w:type="dxa"/>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联系电话</w:t>
            </w:r>
          </w:p>
        </w:tc>
        <w:tc>
          <w:tcPr>
            <w:tcW w:w="1724"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260"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原存放地</w:t>
            </w:r>
          </w:p>
        </w:tc>
        <w:tc>
          <w:tcPr>
            <w:tcW w:w="2056"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送交人1</w:t>
            </w:r>
          </w:p>
        </w:tc>
        <w:tc>
          <w:tcPr>
            <w:tcW w:w="1800"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441" w:type="dxa"/>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身    份</w:t>
            </w:r>
          </w:p>
        </w:tc>
        <w:tc>
          <w:tcPr>
            <w:tcW w:w="1724"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c>
          <w:tcPr>
            <w:tcW w:w="1260" w:type="dxa"/>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联系电话</w:t>
            </w:r>
          </w:p>
        </w:tc>
        <w:tc>
          <w:tcPr>
            <w:tcW w:w="2056" w:type="dxa"/>
            <w:shd w:val="clear" w:color="auto" w:fill="auto"/>
            <w:tcMar>
              <w:left w:w="34" w:type="dxa"/>
              <w:right w:w="34" w:type="dxa"/>
            </w:tcMar>
            <w:vAlign w:val="center"/>
          </w:tcPr>
          <w:p>
            <w:pPr>
              <w:ind w:firstLine="120" w:firstLineChar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送交人2</w:t>
            </w:r>
          </w:p>
        </w:tc>
        <w:tc>
          <w:tcPr>
            <w:tcW w:w="1800" w:type="dxa"/>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p>
        </w:tc>
        <w:tc>
          <w:tcPr>
            <w:tcW w:w="1441" w:type="dxa"/>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身    份</w:t>
            </w:r>
          </w:p>
        </w:tc>
        <w:tc>
          <w:tcPr>
            <w:tcW w:w="1724" w:type="dxa"/>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p>
        </w:tc>
        <w:tc>
          <w:tcPr>
            <w:tcW w:w="1260" w:type="dxa"/>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联系电话</w:t>
            </w:r>
          </w:p>
        </w:tc>
        <w:tc>
          <w:tcPr>
            <w:tcW w:w="2056" w:type="dxa"/>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059" w:type="dxa"/>
            <w:gridSpan w:val="2"/>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剧毒品名称</w:t>
            </w:r>
          </w:p>
        </w:tc>
        <w:tc>
          <w:tcPr>
            <w:tcW w:w="1441" w:type="dxa"/>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kern w:val="0"/>
                <w:sz w:val="24"/>
              </w:rPr>
              <w:t>包装规格</w:t>
            </w:r>
          </w:p>
        </w:tc>
        <w:tc>
          <w:tcPr>
            <w:tcW w:w="1724" w:type="dxa"/>
            <w:shd w:val="clear" w:color="auto" w:fill="auto"/>
            <w:tcMar>
              <w:left w:w="34" w:type="dxa"/>
              <w:right w:w="34" w:type="dxa"/>
            </w:tcMar>
            <w:vAlign w:val="center"/>
          </w:tcPr>
          <w:p>
            <w:pPr>
              <w:ind w:firstLine="120" w:firstLineChars="50"/>
              <w:jc w:val="center"/>
              <w:rPr>
                <w:rFonts w:ascii="仿宋_GB2312" w:hAnsi="宋体" w:eastAsia="仿宋_GB2312"/>
                <w:sz w:val="24"/>
              </w:rPr>
            </w:pPr>
            <w:r>
              <w:rPr>
                <w:rFonts w:hint="eastAsia" w:ascii="仿宋_GB2312" w:hAnsi="宋体" w:eastAsia="仿宋_GB2312"/>
                <w:sz w:val="24"/>
              </w:rPr>
              <w:t>送储数量</w:t>
            </w:r>
          </w:p>
        </w:tc>
        <w:tc>
          <w:tcPr>
            <w:tcW w:w="1260" w:type="dxa"/>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领用编号</w:t>
            </w:r>
          </w:p>
        </w:tc>
        <w:tc>
          <w:tcPr>
            <w:tcW w:w="2056" w:type="dxa"/>
            <w:shd w:val="clear" w:color="auto" w:fill="auto"/>
            <w:tcMar>
              <w:left w:w="34" w:type="dxa"/>
              <w:right w:w="34" w:type="dxa"/>
            </w:tcMar>
            <w:vAlign w:val="center"/>
          </w:tcPr>
          <w:p>
            <w:pPr>
              <w:ind w:firstLine="120" w:firstLineChars="50"/>
              <w:jc w:val="center"/>
              <w:rPr>
                <w:rFonts w:ascii="仿宋_GB2312" w:hAnsi="宋体" w:eastAsia="仿宋_GB2312"/>
                <w:kern w:val="0"/>
                <w:sz w:val="24"/>
              </w:rPr>
            </w:pPr>
            <w:r>
              <w:rPr>
                <w:rFonts w:hint="eastAsia" w:ascii="仿宋_GB2312" w:hAnsi="宋体"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9" w:type="dxa"/>
            <w:gridSpan w:val="2"/>
            <w:tcMar>
              <w:left w:w="34" w:type="dxa"/>
              <w:right w:w="34" w:type="dxa"/>
            </w:tcMar>
            <w:vAlign w:val="center"/>
          </w:tcPr>
          <w:p>
            <w:pPr>
              <w:ind w:firstLine="120" w:firstLineChars="50"/>
              <w:rPr>
                <w:rFonts w:ascii="仿宋_GB2312" w:hAnsi="宋体" w:eastAsia="仿宋_GB2312"/>
                <w:kern w:val="0"/>
                <w:sz w:val="24"/>
              </w:rPr>
            </w:pPr>
          </w:p>
        </w:tc>
        <w:tc>
          <w:tcPr>
            <w:tcW w:w="1441"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60" w:type="dxa"/>
            <w:tcMar>
              <w:left w:w="34" w:type="dxa"/>
              <w:right w:w="34" w:type="dxa"/>
            </w:tcMar>
            <w:vAlign w:val="center"/>
          </w:tcPr>
          <w:p>
            <w:pPr>
              <w:ind w:firstLine="120" w:firstLineChars="50"/>
              <w:rPr>
                <w:rFonts w:ascii="仿宋_GB2312" w:hAnsi="宋体" w:eastAsia="仿宋_GB2312"/>
                <w:kern w:val="0"/>
                <w:sz w:val="24"/>
              </w:rPr>
            </w:pPr>
          </w:p>
        </w:tc>
        <w:tc>
          <w:tcPr>
            <w:tcW w:w="2056"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9" w:type="dxa"/>
            <w:gridSpan w:val="2"/>
            <w:tcMar>
              <w:left w:w="34" w:type="dxa"/>
              <w:right w:w="34" w:type="dxa"/>
            </w:tcMar>
            <w:vAlign w:val="center"/>
          </w:tcPr>
          <w:p>
            <w:pPr>
              <w:ind w:firstLine="120" w:firstLineChars="50"/>
              <w:rPr>
                <w:rFonts w:ascii="仿宋_GB2312" w:hAnsi="宋体" w:eastAsia="仿宋_GB2312"/>
                <w:kern w:val="0"/>
                <w:sz w:val="24"/>
              </w:rPr>
            </w:pPr>
          </w:p>
        </w:tc>
        <w:tc>
          <w:tcPr>
            <w:tcW w:w="1441"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60" w:type="dxa"/>
            <w:tcMar>
              <w:left w:w="34" w:type="dxa"/>
              <w:right w:w="34" w:type="dxa"/>
            </w:tcMar>
            <w:vAlign w:val="center"/>
          </w:tcPr>
          <w:p>
            <w:pPr>
              <w:ind w:firstLine="120" w:firstLineChars="50"/>
              <w:rPr>
                <w:rFonts w:ascii="仿宋_GB2312" w:hAnsi="宋体" w:eastAsia="仿宋_GB2312"/>
                <w:kern w:val="0"/>
                <w:sz w:val="24"/>
              </w:rPr>
            </w:pPr>
          </w:p>
        </w:tc>
        <w:tc>
          <w:tcPr>
            <w:tcW w:w="2056"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9" w:type="dxa"/>
            <w:gridSpan w:val="2"/>
            <w:tcMar>
              <w:left w:w="34" w:type="dxa"/>
              <w:right w:w="34" w:type="dxa"/>
            </w:tcMar>
            <w:vAlign w:val="center"/>
          </w:tcPr>
          <w:p>
            <w:pPr>
              <w:ind w:firstLine="120" w:firstLineChars="50"/>
              <w:rPr>
                <w:rFonts w:ascii="仿宋_GB2312" w:hAnsi="宋体" w:eastAsia="仿宋_GB2312"/>
                <w:kern w:val="0"/>
                <w:sz w:val="24"/>
              </w:rPr>
            </w:pPr>
          </w:p>
        </w:tc>
        <w:tc>
          <w:tcPr>
            <w:tcW w:w="1441"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724"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c>
          <w:tcPr>
            <w:tcW w:w="1260" w:type="dxa"/>
            <w:tcMar>
              <w:left w:w="34" w:type="dxa"/>
              <w:right w:w="34" w:type="dxa"/>
            </w:tcMar>
            <w:vAlign w:val="center"/>
          </w:tcPr>
          <w:p>
            <w:pPr>
              <w:ind w:firstLine="120" w:firstLineChars="50"/>
              <w:rPr>
                <w:rFonts w:ascii="仿宋_GB2312" w:hAnsi="宋体" w:eastAsia="仿宋_GB2312"/>
                <w:kern w:val="0"/>
                <w:sz w:val="24"/>
              </w:rPr>
            </w:pPr>
          </w:p>
        </w:tc>
        <w:tc>
          <w:tcPr>
            <w:tcW w:w="2056"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9" w:type="dxa"/>
            <w:gridSpan w:val="2"/>
            <w:tcMar>
              <w:left w:w="34" w:type="dxa"/>
              <w:right w:w="34" w:type="dxa"/>
            </w:tcMar>
            <w:vAlign w:val="center"/>
          </w:tcPr>
          <w:p>
            <w:pPr>
              <w:ind w:firstLine="120" w:firstLineChars="50"/>
              <w:rPr>
                <w:rFonts w:ascii="仿宋_GB2312" w:hAnsi="宋体" w:eastAsia="仿宋_GB2312"/>
                <w:sz w:val="24"/>
              </w:rPr>
            </w:pPr>
          </w:p>
        </w:tc>
        <w:tc>
          <w:tcPr>
            <w:tcW w:w="1441" w:type="dxa"/>
            <w:shd w:val="clear" w:color="auto" w:fill="auto"/>
            <w:tcMar>
              <w:left w:w="34" w:type="dxa"/>
              <w:right w:w="34" w:type="dxa"/>
            </w:tcMar>
            <w:vAlign w:val="center"/>
          </w:tcPr>
          <w:p>
            <w:pPr>
              <w:ind w:firstLine="120" w:firstLineChars="50"/>
              <w:rPr>
                <w:rFonts w:ascii="仿宋_GB2312" w:hAnsi="宋体" w:eastAsia="仿宋_GB2312"/>
                <w:sz w:val="24"/>
              </w:rPr>
            </w:pPr>
          </w:p>
        </w:tc>
        <w:tc>
          <w:tcPr>
            <w:tcW w:w="1724" w:type="dxa"/>
            <w:shd w:val="clear" w:color="auto" w:fill="auto"/>
            <w:tcMar>
              <w:left w:w="34" w:type="dxa"/>
              <w:right w:w="34" w:type="dxa"/>
            </w:tcMar>
            <w:vAlign w:val="center"/>
          </w:tcPr>
          <w:p>
            <w:pPr>
              <w:ind w:firstLine="120" w:firstLineChars="50"/>
              <w:rPr>
                <w:rFonts w:ascii="仿宋_GB2312" w:hAnsi="宋体" w:eastAsia="仿宋_GB2312"/>
                <w:sz w:val="24"/>
              </w:rPr>
            </w:pPr>
          </w:p>
        </w:tc>
        <w:tc>
          <w:tcPr>
            <w:tcW w:w="1260" w:type="dxa"/>
            <w:tcMar>
              <w:left w:w="34" w:type="dxa"/>
              <w:right w:w="34" w:type="dxa"/>
            </w:tcMar>
            <w:vAlign w:val="center"/>
          </w:tcPr>
          <w:p>
            <w:pPr>
              <w:ind w:firstLine="120" w:firstLineChars="50"/>
              <w:rPr>
                <w:rFonts w:ascii="仿宋_GB2312" w:hAnsi="宋体" w:eastAsia="仿宋_GB2312"/>
                <w:kern w:val="0"/>
                <w:sz w:val="24"/>
              </w:rPr>
            </w:pPr>
          </w:p>
        </w:tc>
        <w:tc>
          <w:tcPr>
            <w:tcW w:w="2056" w:type="dxa"/>
            <w:shd w:val="clear" w:color="auto" w:fill="auto"/>
            <w:tcMar>
              <w:left w:w="34" w:type="dxa"/>
              <w:right w:w="34" w:type="dxa"/>
            </w:tcMar>
            <w:vAlign w:val="center"/>
          </w:tcPr>
          <w:p>
            <w:pPr>
              <w:ind w:firstLine="120" w:firstLineChars="50"/>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3059" w:type="dxa"/>
            <w:gridSpan w:val="2"/>
            <w:tcMar>
              <w:left w:w="34" w:type="dxa"/>
              <w:right w:w="34" w:type="dxa"/>
            </w:tcMar>
            <w:vAlign w:val="center"/>
          </w:tcPr>
          <w:p>
            <w:pPr>
              <w:spacing w:line="360" w:lineRule="auto"/>
              <w:ind w:firstLine="120" w:firstLineChars="50"/>
              <w:jc w:val="center"/>
              <w:rPr>
                <w:rFonts w:ascii="仿宋_GB2312" w:hAnsi="宋体" w:eastAsia="仿宋_GB2312"/>
                <w:sz w:val="24"/>
              </w:rPr>
            </w:pPr>
            <w:r>
              <w:rPr>
                <w:rFonts w:hint="eastAsia" w:ascii="仿宋_GB2312" w:hAnsi="宋体" w:eastAsia="仿宋_GB2312"/>
                <w:sz w:val="24"/>
              </w:rPr>
              <w:t>实验室意见</w:t>
            </w:r>
          </w:p>
        </w:tc>
        <w:tc>
          <w:tcPr>
            <w:tcW w:w="6481" w:type="dxa"/>
            <w:gridSpan w:val="4"/>
            <w:shd w:val="clear" w:color="auto" w:fill="auto"/>
            <w:tcMar>
              <w:left w:w="34" w:type="dxa"/>
              <w:right w:w="34" w:type="dxa"/>
            </w:tcMar>
            <w:vAlign w:val="center"/>
          </w:tcPr>
          <w:p>
            <w:pPr>
              <w:spacing w:line="360" w:lineRule="auto"/>
              <w:ind w:firstLine="120" w:firstLineChars="50"/>
              <w:jc w:val="right"/>
              <w:rPr>
                <w:rFonts w:ascii="仿宋_GB2312" w:hAnsi="宋体" w:eastAsia="仿宋_GB2312"/>
                <w:sz w:val="24"/>
              </w:rPr>
            </w:pPr>
          </w:p>
          <w:p>
            <w:pPr>
              <w:spacing w:line="360" w:lineRule="auto"/>
              <w:ind w:firstLine="120" w:firstLineChars="50"/>
              <w:jc w:val="right"/>
              <w:rPr>
                <w:rFonts w:ascii="仿宋_GB2312" w:hAnsi="宋体" w:eastAsia="仿宋_GB2312"/>
                <w:sz w:val="24"/>
              </w:rPr>
            </w:pPr>
          </w:p>
          <w:p>
            <w:pPr>
              <w:spacing w:line="360" w:lineRule="auto"/>
              <w:ind w:right="480" w:firstLine="2354" w:firstLineChars="981"/>
              <w:rPr>
                <w:rFonts w:ascii="仿宋_GB2312" w:hAnsi="宋体" w:eastAsia="仿宋_GB2312"/>
                <w:sz w:val="24"/>
              </w:rPr>
            </w:pPr>
            <w:r>
              <w:rPr>
                <w:rFonts w:hint="eastAsia" w:ascii="仿宋_GB2312" w:hAnsi="宋体" w:eastAsia="仿宋_GB2312"/>
                <w:sz w:val="24"/>
              </w:rPr>
              <w:t xml:space="preserve">   负责人（签名）：</w:t>
            </w:r>
          </w:p>
          <w:p>
            <w:pPr>
              <w:spacing w:line="360" w:lineRule="auto"/>
              <w:ind w:right="480" w:firstLine="2822" w:firstLineChars="1176"/>
              <w:rPr>
                <w:rFonts w:ascii="仿宋_GB2312" w:hAnsi="宋体" w:eastAsia="仿宋_GB2312"/>
                <w:sz w:val="24"/>
              </w:rPr>
            </w:pPr>
            <w:r>
              <w:rPr>
                <w:rFonts w:hint="eastAsia" w:ascii="仿宋_GB2312" w:hAnsi="宋体" w:eastAsia="仿宋_GB2312"/>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3059" w:type="dxa"/>
            <w:gridSpan w:val="2"/>
            <w:tcMar>
              <w:left w:w="34" w:type="dxa"/>
              <w:right w:w="34" w:type="dxa"/>
            </w:tcMar>
            <w:vAlign w:val="center"/>
          </w:tcPr>
          <w:p>
            <w:pPr>
              <w:spacing w:line="360" w:lineRule="auto"/>
              <w:ind w:firstLine="120" w:firstLineChars="50"/>
              <w:rPr>
                <w:rFonts w:ascii="仿宋_GB2312" w:hAnsi="宋体" w:eastAsia="仿宋_GB2312"/>
                <w:kern w:val="0"/>
                <w:sz w:val="24"/>
              </w:rPr>
            </w:pPr>
            <w:r>
              <w:rPr>
                <w:rFonts w:hint="eastAsia" w:ascii="仿宋_GB2312" w:hAnsi="宋体" w:eastAsia="仿宋_GB2312"/>
                <w:sz w:val="24"/>
              </w:rPr>
              <w:t>所在二级单位意见（盖章）</w:t>
            </w:r>
          </w:p>
        </w:tc>
        <w:tc>
          <w:tcPr>
            <w:tcW w:w="6481" w:type="dxa"/>
            <w:gridSpan w:val="4"/>
            <w:shd w:val="clear" w:color="auto" w:fill="auto"/>
            <w:tcMar>
              <w:left w:w="34" w:type="dxa"/>
              <w:right w:w="34" w:type="dxa"/>
            </w:tcMar>
            <w:vAlign w:val="center"/>
          </w:tcPr>
          <w:p>
            <w:pPr>
              <w:spacing w:line="360" w:lineRule="auto"/>
              <w:ind w:firstLine="120" w:firstLineChars="50"/>
              <w:jc w:val="right"/>
              <w:rPr>
                <w:rFonts w:ascii="仿宋_GB2312" w:hAnsi="宋体" w:eastAsia="仿宋_GB2312"/>
                <w:sz w:val="24"/>
              </w:rPr>
            </w:pPr>
          </w:p>
          <w:p>
            <w:pPr>
              <w:spacing w:line="360" w:lineRule="auto"/>
              <w:ind w:firstLine="120" w:firstLineChars="50"/>
              <w:jc w:val="center"/>
              <w:rPr>
                <w:rFonts w:ascii="仿宋_GB2312" w:hAnsi="宋体" w:eastAsia="仿宋_GB2312"/>
                <w:sz w:val="24"/>
              </w:rPr>
            </w:pPr>
            <w:r>
              <w:rPr>
                <w:rFonts w:hint="eastAsia" w:ascii="仿宋_GB2312" w:hAnsi="宋体" w:eastAsia="仿宋_GB2312"/>
                <w:sz w:val="24"/>
              </w:rPr>
              <w:t xml:space="preserve">      负责人（签名）：</w:t>
            </w:r>
          </w:p>
          <w:p>
            <w:pPr>
              <w:spacing w:line="360" w:lineRule="auto"/>
              <w:ind w:firstLine="2942" w:firstLineChars="1226"/>
              <w:rPr>
                <w:rFonts w:ascii="仿宋_GB2312" w:hAnsi="宋体" w:eastAsia="仿宋_GB2312"/>
                <w:sz w:val="24"/>
              </w:rPr>
            </w:pPr>
            <w:r>
              <w:rPr>
                <w:rFonts w:hint="eastAsia" w:ascii="仿宋_GB2312" w:hAnsi="宋体" w:eastAsia="仿宋_GB2312"/>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3059" w:type="dxa"/>
            <w:gridSpan w:val="2"/>
            <w:tcMar>
              <w:left w:w="34" w:type="dxa"/>
              <w:right w:w="34" w:type="dxa"/>
            </w:tcMar>
            <w:vAlign w:val="center"/>
          </w:tcPr>
          <w:p>
            <w:pPr>
              <w:spacing w:line="360" w:lineRule="auto"/>
              <w:ind w:firstLine="120" w:firstLineChars="50"/>
              <w:jc w:val="center"/>
              <w:rPr>
                <w:rFonts w:ascii="仿宋_GB2312" w:hAnsi="宋体" w:eastAsia="仿宋_GB2312"/>
                <w:kern w:val="0"/>
                <w:sz w:val="24"/>
              </w:rPr>
            </w:pPr>
            <w:r>
              <w:rPr>
                <w:rFonts w:hint="eastAsia" w:ascii="仿宋_GB2312" w:hAnsi="宋体" w:eastAsia="仿宋_GB2312"/>
                <w:kern w:val="0"/>
                <w:sz w:val="24"/>
              </w:rPr>
              <w:t>实验室与设备管理处</w:t>
            </w:r>
            <w:r>
              <w:rPr>
                <w:rFonts w:hint="eastAsia" w:ascii="仿宋_GB2312" w:hAnsi="宋体" w:eastAsia="仿宋_GB2312"/>
                <w:sz w:val="24"/>
              </w:rPr>
              <w:t>意见（盖章）</w:t>
            </w:r>
          </w:p>
        </w:tc>
        <w:tc>
          <w:tcPr>
            <w:tcW w:w="6481" w:type="dxa"/>
            <w:gridSpan w:val="4"/>
            <w:shd w:val="clear" w:color="auto" w:fill="auto"/>
            <w:tcMar>
              <w:left w:w="34" w:type="dxa"/>
              <w:right w:w="34" w:type="dxa"/>
            </w:tcMar>
            <w:vAlign w:val="center"/>
          </w:tcPr>
          <w:p>
            <w:pPr>
              <w:spacing w:line="360" w:lineRule="auto"/>
              <w:ind w:firstLine="120" w:firstLineChars="50"/>
              <w:jc w:val="center"/>
              <w:rPr>
                <w:rFonts w:ascii="仿宋_GB2312" w:hAnsi="宋体" w:eastAsia="仿宋_GB2312"/>
                <w:sz w:val="24"/>
              </w:rPr>
            </w:pPr>
          </w:p>
          <w:p>
            <w:pPr>
              <w:spacing w:line="360" w:lineRule="auto"/>
              <w:ind w:firstLine="120" w:firstLineChars="50"/>
              <w:jc w:val="center"/>
              <w:rPr>
                <w:rFonts w:ascii="仿宋_GB2312" w:hAnsi="宋体" w:eastAsia="仿宋_GB2312"/>
                <w:sz w:val="24"/>
              </w:rPr>
            </w:pPr>
            <w:r>
              <w:rPr>
                <w:rFonts w:hint="eastAsia" w:ascii="仿宋_GB2312" w:hAnsi="宋体" w:eastAsia="仿宋_GB2312"/>
                <w:sz w:val="24"/>
              </w:rPr>
              <w:t xml:space="preserve">     负责人（签名）：</w:t>
            </w:r>
          </w:p>
          <w:p>
            <w:pPr>
              <w:spacing w:line="360" w:lineRule="auto"/>
              <w:ind w:firstLine="120" w:firstLineChars="50"/>
              <w:jc w:val="center"/>
              <w:rPr>
                <w:rFonts w:ascii="仿宋_GB2312" w:hAnsi="宋体" w:eastAsia="仿宋_GB2312"/>
                <w:sz w:val="24"/>
              </w:rPr>
            </w:pPr>
            <w:r>
              <w:rPr>
                <w:rFonts w:hint="eastAsia" w:ascii="仿宋_GB2312" w:hAnsi="宋体" w:eastAsia="仿宋_GB2312"/>
                <w:sz w:val="24"/>
              </w:rPr>
              <w:t xml:space="preserve">   日  期：</w:t>
            </w:r>
          </w:p>
        </w:tc>
      </w:tr>
    </w:tbl>
    <w:p>
      <w:pPr>
        <w:rPr>
          <w:rFonts w:ascii="仿宋_GB2312" w:hAnsi="宋体" w:eastAsia="仿宋_GB2312"/>
          <w:sz w:val="24"/>
          <w:szCs w:val="24"/>
        </w:rPr>
      </w:pPr>
      <w:r>
        <w:rPr>
          <w:rFonts w:hint="eastAsia" w:ascii="仿宋_GB2312" w:hAnsi="宋体" w:eastAsia="仿宋_GB2312"/>
          <w:sz w:val="24"/>
          <w:szCs w:val="24"/>
        </w:rPr>
        <w:t xml:space="preserve">注： 1.如是含有剧毒品且仍具有剧毒的实验溶液，请在备注栏中注明“废溶液”。 </w:t>
      </w:r>
    </w:p>
    <w:p>
      <w:pPr>
        <w:ind w:firstLine="120" w:firstLineChars="50"/>
        <w:rPr>
          <w:rFonts w:ascii="仿宋_GB2312" w:hAnsi="宋体" w:eastAsia="仿宋_GB2312"/>
          <w:sz w:val="24"/>
          <w:szCs w:val="24"/>
        </w:rPr>
      </w:pPr>
      <w:r>
        <w:rPr>
          <w:rFonts w:hint="eastAsia" w:ascii="仿宋_GB2312" w:hAnsi="宋体" w:eastAsia="仿宋_GB2312"/>
          <w:sz w:val="24"/>
          <w:szCs w:val="24"/>
        </w:rPr>
        <w:t xml:space="preserve">    2.如是历史遗留的剧毒品缺少领用时编号的，请在领用编号栏中注明“历史遗留”</w:t>
      </w:r>
    </w:p>
    <w:p>
      <w:pPr>
        <w:ind w:firstLine="120" w:firstLineChars="50"/>
        <w:rPr>
          <w:rFonts w:ascii="仿宋_GB2312" w:hAnsi="宋体" w:eastAsia="仿宋_GB2312"/>
          <w:sz w:val="24"/>
          <w:szCs w:val="24"/>
        </w:rPr>
      </w:pPr>
      <w:r>
        <w:rPr>
          <w:rFonts w:hint="eastAsia" w:ascii="仿宋_GB2312" w:hAnsi="宋体" w:eastAsia="仿宋_GB2312"/>
          <w:sz w:val="24"/>
          <w:szCs w:val="24"/>
        </w:rPr>
        <w:t xml:space="preserve">    3.所在部门意见由二级单位实验室分管领导完成。</w:t>
      </w:r>
    </w:p>
    <w:p>
      <w:pPr>
        <w:ind w:left="414" w:leftChars="148" w:firstLine="240" w:firstLineChars="100"/>
        <w:jc w:val="left"/>
        <w:rPr>
          <w:rFonts w:ascii="仿宋_GB2312" w:hAnsi="宋体" w:eastAsia="仿宋_GB2312"/>
          <w:sz w:val="24"/>
          <w:szCs w:val="24"/>
        </w:rPr>
      </w:pPr>
      <w:r>
        <w:rPr>
          <w:rFonts w:hint="eastAsia" w:ascii="仿宋_GB2312" w:hAnsi="宋体" w:eastAsia="仿宋_GB2312"/>
          <w:sz w:val="24"/>
          <w:szCs w:val="24"/>
        </w:rPr>
        <w:t>4.危险品仓库核对废旧剧毒品剩余重量后在备注栏内注明剩余重量并收下此原件留档。由送储人将复印件送所在二级单位、实验室与设备管理处留1份。</w:t>
      </w:r>
    </w:p>
    <w:p>
      <w:pPr>
        <w:widowControl/>
        <w:jc w:val="left"/>
        <w:rPr>
          <w:rFonts w:ascii="仿宋_GB2312" w:hAnsi="宋体" w:eastAsia="仿宋_GB2312"/>
        </w:rPr>
      </w:pPr>
      <w:r>
        <w:rPr>
          <w:rFonts w:ascii="仿宋_GB2312" w:hAnsi="宋体" w:eastAsia="仿宋_GB2312"/>
        </w:rPr>
        <w:br w:type="page"/>
      </w:r>
    </w:p>
    <w:p>
      <w:pPr>
        <w:ind w:firstLine="120"/>
        <w:rPr>
          <w:rFonts w:ascii="黑体" w:hAnsi="黑体" w:eastAsia="黑体" w:cs="黑体"/>
          <w:kern w:val="0"/>
          <w:sz w:val="32"/>
          <w:szCs w:val="32"/>
        </w:rPr>
      </w:pPr>
      <w:r>
        <w:rPr>
          <w:rFonts w:hint="eastAsia" w:ascii="黑体" w:hAnsi="黑体" w:eastAsia="黑体" w:cs="黑体"/>
          <w:kern w:val="0"/>
          <w:sz w:val="32"/>
          <w:szCs w:val="32"/>
        </w:rPr>
        <w:t>附件3</w:t>
      </w:r>
    </w:p>
    <w:p>
      <w:pPr>
        <w:spacing w:line="360" w:lineRule="auto"/>
        <w:ind w:firstLine="181" w:firstLineChars="50"/>
        <w:jc w:val="center"/>
        <w:rPr>
          <w:rFonts w:ascii="仿宋_GB2312" w:hAnsi="宋体" w:eastAsia="仿宋_GB2312"/>
          <w:strike/>
          <w:color w:val="FF0000"/>
          <w:sz w:val="32"/>
          <w:szCs w:val="32"/>
        </w:rPr>
      </w:pPr>
      <w:r>
        <w:rPr>
          <w:rFonts w:hint="eastAsia" w:ascii="仿宋_GB2312" w:hAnsi="宋体" w:eastAsia="仿宋_GB2312"/>
          <w:b/>
          <w:sz w:val="36"/>
          <w:szCs w:val="36"/>
        </w:rPr>
        <w:t>衢州学院剧毒化学品实验使用登记表</w:t>
      </w:r>
      <w:r>
        <w:rPr>
          <w:rFonts w:hint="eastAsia" w:ascii="仿宋_GB2312" w:hAnsi="宋体" w:eastAsia="仿宋_GB2312"/>
          <w:color w:val="000000"/>
          <w:sz w:val="18"/>
        </w:rPr>
        <w:t xml:space="preserve">                                           </w:t>
      </w:r>
      <w:r>
        <w:rPr>
          <w:rFonts w:hint="eastAsia" w:ascii="仿宋_GB2312" w:hAnsi="宋体" w:eastAsia="仿宋_GB2312"/>
          <w:color w:val="000000"/>
          <w:szCs w:val="21"/>
        </w:rPr>
        <w:t xml:space="preserve">  </w:t>
      </w:r>
    </w:p>
    <w:tbl>
      <w:tblPr>
        <w:tblStyle w:val="1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46"/>
        <w:gridCol w:w="29"/>
        <w:gridCol w:w="325"/>
        <w:gridCol w:w="1093"/>
        <w:gridCol w:w="608"/>
        <w:gridCol w:w="1093"/>
        <w:gridCol w:w="926"/>
        <w:gridCol w:w="77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879" w:type="dxa"/>
            <w:gridSpan w:val="4"/>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使用单位</w:t>
            </w:r>
          </w:p>
        </w:tc>
        <w:tc>
          <w:tcPr>
            <w:tcW w:w="6648" w:type="dxa"/>
            <w:gridSpan w:val="6"/>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879" w:type="dxa"/>
            <w:gridSpan w:val="4"/>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存放地址</w:t>
            </w:r>
          </w:p>
        </w:tc>
        <w:tc>
          <w:tcPr>
            <w:tcW w:w="6648" w:type="dxa"/>
            <w:gridSpan w:val="6"/>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79" w:type="dxa"/>
            <w:gridSpan w:val="4"/>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剧毒化学品名称</w:t>
            </w:r>
          </w:p>
        </w:tc>
        <w:tc>
          <w:tcPr>
            <w:tcW w:w="1701" w:type="dxa"/>
            <w:gridSpan w:val="2"/>
            <w:vAlign w:val="center"/>
          </w:tcPr>
          <w:p>
            <w:pPr>
              <w:spacing w:line="360" w:lineRule="auto"/>
              <w:ind w:firstLine="140" w:firstLineChars="50"/>
              <w:rPr>
                <w:rFonts w:ascii="仿宋_GB2312" w:hAnsi="宋体" w:eastAsia="仿宋_GB2312"/>
                <w:szCs w:val="21"/>
              </w:rPr>
            </w:pPr>
          </w:p>
        </w:tc>
        <w:tc>
          <w:tcPr>
            <w:tcW w:w="2019" w:type="dxa"/>
            <w:gridSpan w:val="2"/>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领用总量（g）</w:t>
            </w:r>
          </w:p>
        </w:tc>
        <w:tc>
          <w:tcPr>
            <w:tcW w:w="2928" w:type="dxa"/>
            <w:gridSpan w:val="2"/>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879" w:type="dxa"/>
            <w:gridSpan w:val="4"/>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领用日期</w:t>
            </w:r>
          </w:p>
        </w:tc>
        <w:tc>
          <w:tcPr>
            <w:tcW w:w="1701" w:type="dxa"/>
            <w:gridSpan w:val="2"/>
            <w:vAlign w:val="center"/>
          </w:tcPr>
          <w:p>
            <w:pPr>
              <w:spacing w:line="360" w:lineRule="auto"/>
              <w:ind w:firstLine="140" w:firstLineChars="50"/>
              <w:rPr>
                <w:rFonts w:ascii="仿宋_GB2312" w:hAnsi="宋体" w:eastAsia="仿宋_GB2312"/>
                <w:szCs w:val="21"/>
              </w:rPr>
            </w:pPr>
          </w:p>
        </w:tc>
        <w:tc>
          <w:tcPr>
            <w:tcW w:w="2019" w:type="dxa"/>
            <w:gridSpan w:val="2"/>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领用单编号</w:t>
            </w:r>
          </w:p>
        </w:tc>
        <w:tc>
          <w:tcPr>
            <w:tcW w:w="2928" w:type="dxa"/>
            <w:gridSpan w:val="2"/>
            <w:vAlign w:val="center"/>
          </w:tcPr>
          <w:p>
            <w:pPr>
              <w:spacing w:line="360" w:lineRule="auto"/>
              <w:ind w:firstLine="140" w:firstLineChars="50"/>
              <w:rPr>
                <w:rFonts w:ascii="仿宋_GB2312" w:hAnsi="宋体"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79" w:type="dxa"/>
            <w:gridSpan w:val="4"/>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领用人1</w:t>
            </w:r>
          </w:p>
        </w:tc>
        <w:tc>
          <w:tcPr>
            <w:tcW w:w="1701" w:type="dxa"/>
            <w:gridSpan w:val="2"/>
            <w:vAlign w:val="center"/>
          </w:tcPr>
          <w:p>
            <w:pPr>
              <w:spacing w:line="360" w:lineRule="auto"/>
              <w:ind w:firstLine="140" w:firstLineChars="50"/>
              <w:rPr>
                <w:rFonts w:ascii="仿宋_GB2312" w:hAnsi="宋体" w:eastAsia="仿宋_GB2312"/>
                <w:szCs w:val="21"/>
              </w:rPr>
            </w:pPr>
          </w:p>
        </w:tc>
        <w:tc>
          <w:tcPr>
            <w:tcW w:w="2019" w:type="dxa"/>
            <w:gridSpan w:val="2"/>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领用人2</w:t>
            </w:r>
          </w:p>
        </w:tc>
        <w:tc>
          <w:tcPr>
            <w:tcW w:w="2928" w:type="dxa"/>
            <w:gridSpan w:val="2"/>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79" w:type="dxa"/>
            <w:gridSpan w:val="4"/>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实验项目/课题名称</w:t>
            </w:r>
          </w:p>
        </w:tc>
        <w:tc>
          <w:tcPr>
            <w:tcW w:w="6648" w:type="dxa"/>
            <w:gridSpan w:val="6"/>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79" w:type="dxa"/>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实验时间</w:t>
            </w:r>
          </w:p>
        </w:tc>
        <w:tc>
          <w:tcPr>
            <w:tcW w:w="1275" w:type="dxa"/>
            <w:gridSpan w:val="2"/>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用量（g）</w:t>
            </w:r>
          </w:p>
        </w:tc>
        <w:tc>
          <w:tcPr>
            <w:tcW w:w="1418" w:type="dxa"/>
            <w:gridSpan w:val="2"/>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剩余量（g）</w:t>
            </w:r>
          </w:p>
        </w:tc>
        <w:tc>
          <w:tcPr>
            <w:tcW w:w="1701" w:type="dxa"/>
            <w:gridSpan w:val="2"/>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使用人1签名</w:t>
            </w:r>
          </w:p>
        </w:tc>
        <w:tc>
          <w:tcPr>
            <w:tcW w:w="1701" w:type="dxa"/>
            <w:gridSpan w:val="2"/>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使用人2签名</w:t>
            </w:r>
          </w:p>
        </w:tc>
        <w:tc>
          <w:tcPr>
            <w:tcW w:w="2153" w:type="dxa"/>
            <w:vAlign w:val="center"/>
          </w:tcPr>
          <w:p>
            <w:pPr>
              <w:spacing w:line="360" w:lineRule="auto"/>
              <w:ind w:firstLine="140" w:firstLineChars="50"/>
              <w:rPr>
                <w:rFonts w:ascii="仿宋_GB2312" w:hAnsi="宋体" w:eastAsia="仿宋_GB2312"/>
                <w:szCs w:val="21"/>
              </w:rPr>
            </w:pPr>
            <w:r>
              <w:rPr>
                <w:rFonts w:hint="eastAsia" w:ascii="仿宋_GB2312" w:hAnsi="宋体" w:eastAsia="仿宋_GB2312"/>
                <w:szCs w:val="21"/>
              </w:rPr>
              <w:t>保险柜负责人签名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79" w:type="dxa"/>
            <w:vAlign w:val="center"/>
          </w:tcPr>
          <w:p>
            <w:pPr>
              <w:spacing w:line="360" w:lineRule="auto"/>
              <w:ind w:firstLine="140" w:firstLineChars="50"/>
              <w:rPr>
                <w:rFonts w:ascii="仿宋_GB2312" w:hAnsi="宋体" w:eastAsia="仿宋_GB2312"/>
                <w:szCs w:val="21"/>
              </w:rPr>
            </w:pPr>
          </w:p>
        </w:tc>
        <w:tc>
          <w:tcPr>
            <w:tcW w:w="1275" w:type="dxa"/>
            <w:gridSpan w:val="2"/>
            <w:vAlign w:val="center"/>
          </w:tcPr>
          <w:p>
            <w:pPr>
              <w:spacing w:line="360" w:lineRule="auto"/>
              <w:ind w:firstLine="140" w:firstLineChars="50"/>
              <w:rPr>
                <w:rFonts w:ascii="仿宋_GB2312" w:hAnsi="宋体" w:eastAsia="仿宋_GB2312"/>
                <w:szCs w:val="21"/>
              </w:rPr>
            </w:pPr>
          </w:p>
        </w:tc>
        <w:tc>
          <w:tcPr>
            <w:tcW w:w="1418" w:type="dxa"/>
            <w:gridSpan w:val="2"/>
            <w:vAlign w:val="center"/>
          </w:tcPr>
          <w:p>
            <w:pPr>
              <w:spacing w:line="360" w:lineRule="auto"/>
              <w:ind w:firstLine="140" w:firstLineChars="50"/>
              <w:rPr>
                <w:rFonts w:ascii="仿宋_GB2312" w:hAnsi="宋体" w:eastAsia="仿宋_GB2312"/>
                <w:szCs w:val="21"/>
              </w:rPr>
            </w:pPr>
          </w:p>
        </w:tc>
        <w:tc>
          <w:tcPr>
            <w:tcW w:w="1701" w:type="dxa"/>
            <w:gridSpan w:val="2"/>
            <w:vAlign w:val="center"/>
          </w:tcPr>
          <w:p>
            <w:pPr>
              <w:spacing w:line="360" w:lineRule="auto"/>
              <w:ind w:firstLine="140" w:firstLineChars="50"/>
              <w:rPr>
                <w:rFonts w:ascii="仿宋_GB2312" w:hAnsi="宋体" w:eastAsia="仿宋_GB2312"/>
                <w:szCs w:val="21"/>
              </w:rPr>
            </w:pPr>
          </w:p>
        </w:tc>
        <w:tc>
          <w:tcPr>
            <w:tcW w:w="1701" w:type="dxa"/>
            <w:gridSpan w:val="2"/>
            <w:vAlign w:val="center"/>
          </w:tcPr>
          <w:p>
            <w:pPr>
              <w:spacing w:line="360" w:lineRule="auto"/>
              <w:ind w:firstLine="140" w:firstLineChars="50"/>
              <w:rPr>
                <w:rFonts w:ascii="仿宋_GB2312" w:hAnsi="宋体" w:eastAsia="仿宋_GB2312"/>
                <w:szCs w:val="21"/>
              </w:rPr>
            </w:pPr>
          </w:p>
        </w:tc>
        <w:tc>
          <w:tcPr>
            <w:tcW w:w="2153" w:type="dxa"/>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9" w:type="dxa"/>
            <w:vAlign w:val="center"/>
          </w:tcPr>
          <w:p>
            <w:pPr>
              <w:spacing w:line="360" w:lineRule="auto"/>
              <w:ind w:firstLine="140" w:firstLineChars="50"/>
              <w:rPr>
                <w:rFonts w:ascii="仿宋_GB2312" w:hAnsi="宋体" w:eastAsia="仿宋_GB2312"/>
                <w:szCs w:val="21"/>
              </w:rPr>
            </w:pPr>
          </w:p>
        </w:tc>
        <w:tc>
          <w:tcPr>
            <w:tcW w:w="1275" w:type="dxa"/>
            <w:gridSpan w:val="2"/>
            <w:vAlign w:val="center"/>
          </w:tcPr>
          <w:p>
            <w:pPr>
              <w:spacing w:line="360" w:lineRule="auto"/>
              <w:ind w:firstLine="140" w:firstLineChars="50"/>
              <w:rPr>
                <w:rFonts w:ascii="仿宋_GB2312" w:hAnsi="宋体" w:eastAsia="仿宋_GB2312"/>
                <w:szCs w:val="21"/>
              </w:rPr>
            </w:pPr>
          </w:p>
        </w:tc>
        <w:tc>
          <w:tcPr>
            <w:tcW w:w="1418" w:type="dxa"/>
            <w:gridSpan w:val="2"/>
            <w:vAlign w:val="center"/>
          </w:tcPr>
          <w:p>
            <w:pPr>
              <w:spacing w:line="360" w:lineRule="auto"/>
              <w:ind w:firstLine="140" w:firstLineChars="50"/>
              <w:rPr>
                <w:rFonts w:ascii="仿宋_GB2312" w:hAnsi="宋体" w:eastAsia="仿宋_GB2312"/>
                <w:szCs w:val="21"/>
              </w:rPr>
            </w:pPr>
          </w:p>
        </w:tc>
        <w:tc>
          <w:tcPr>
            <w:tcW w:w="1701" w:type="dxa"/>
            <w:gridSpan w:val="2"/>
            <w:vAlign w:val="center"/>
          </w:tcPr>
          <w:p>
            <w:pPr>
              <w:spacing w:line="360" w:lineRule="auto"/>
              <w:ind w:firstLine="140" w:firstLineChars="50"/>
              <w:rPr>
                <w:rFonts w:ascii="仿宋_GB2312" w:hAnsi="宋体" w:eastAsia="仿宋_GB2312"/>
                <w:szCs w:val="21"/>
              </w:rPr>
            </w:pPr>
          </w:p>
        </w:tc>
        <w:tc>
          <w:tcPr>
            <w:tcW w:w="1701" w:type="dxa"/>
            <w:gridSpan w:val="2"/>
            <w:vAlign w:val="center"/>
          </w:tcPr>
          <w:p>
            <w:pPr>
              <w:spacing w:line="360" w:lineRule="auto"/>
              <w:ind w:firstLine="140" w:firstLineChars="50"/>
              <w:rPr>
                <w:rFonts w:ascii="仿宋_GB2312" w:hAnsi="宋体" w:eastAsia="仿宋_GB2312"/>
                <w:szCs w:val="21"/>
              </w:rPr>
            </w:pPr>
          </w:p>
        </w:tc>
        <w:tc>
          <w:tcPr>
            <w:tcW w:w="2153" w:type="dxa"/>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79" w:type="dxa"/>
            <w:vAlign w:val="center"/>
          </w:tcPr>
          <w:p>
            <w:pPr>
              <w:spacing w:line="360" w:lineRule="auto"/>
              <w:ind w:firstLine="140" w:firstLineChars="50"/>
              <w:rPr>
                <w:rFonts w:ascii="仿宋_GB2312" w:hAnsi="宋体" w:eastAsia="仿宋_GB2312"/>
                <w:szCs w:val="21"/>
              </w:rPr>
            </w:pPr>
          </w:p>
        </w:tc>
        <w:tc>
          <w:tcPr>
            <w:tcW w:w="1275" w:type="dxa"/>
            <w:gridSpan w:val="2"/>
            <w:vAlign w:val="center"/>
          </w:tcPr>
          <w:p>
            <w:pPr>
              <w:spacing w:line="360" w:lineRule="auto"/>
              <w:ind w:firstLine="140" w:firstLineChars="50"/>
              <w:rPr>
                <w:rFonts w:ascii="仿宋_GB2312" w:hAnsi="宋体" w:eastAsia="仿宋_GB2312"/>
                <w:szCs w:val="21"/>
              </w:rPr>
            </w:pPr>
          </w:p>
        </w:tc>
        <w:tc>
          <w:tcPr>
            <w:tcW w:w="1418" w:type="dxa"/>
            <w:gridSpan w:val="2"/>
            <w:vAlign w:val="center"/>
          </w:tcPr>
          <w:p>
            <w:pPr>
              <w:spacing w:line="360" w:lineRule="auto"/>
              <w:ind w:firstLine="140" w:firstLineChars="50"/>
              <w:rPr>
                <w:rFonts w:ascii="仿宋_GB2312" w:hAnsi="宋体" w:eastAsia="仿宋_GB2312"/>
                <w:szCs w:val="21"/>
              </w:rPr>
            </w:pPr>
          </w:p>
        </w:tc>
        <w:tc>
          <w:tcPr>
            <w:tcW w:w="1701" w:type="dxa"/>
            <w:gridSpan w:val="2"/>
            <w:vAlign w:val="center"/>
          </w:tcPr>
          <w:p>
            <w:pPr>
              <w:spacing w:line="360" w:lineRule="auto"/>
              <w:ind w:firstLine="140" w:firstLineChars="50"/>
              <w:rPr>
                <w:rFonts w:ascii="仿宋_GB2312" w:hAnsi="宋体" w:eastAsia="仿宋_GB2312"/>
                <w:szCs w:val="21"/>
              </w:rPr>
            </w:pPr>
          </w:p>
        </w:tc>
        <w:tc>
          <w:tcPr>
            <w:tcW w:w="1701" w:type="dxa"/>
            <w:gridSpan w:val="2"/>
            <w:vAlign w:val="center"/>
          </w:tcPr>
          <w:p>
            <w:pPr>
              <w:spacing w:line="360" w:lineRule="auto"/>
              <w:ind w:firstLine="140" w:firstLineChars="50"/>
              <w:rPr>
                <w:rFonts w:ascii="仿宋_GB2312" w:hAnsi="宋体" w:eastAsia="仿宋_GB2312"/>
                <w:szCs w:val="21"/>
              </w:rPr>
            </w:pPr>
          </w:p>
        </w:tc>
        <w:tc>
          <w:tcPr>
            <w:tcW w:w="2153" w:type="dxa"/>
            <w:vAlign w:val="center"/>
          </w:tcPr>
          <w:p>
            <w:pPr>
              <w:spacing w:line="360" w:lineRule="auto"/>
              <w:ind w:firstLine="140" w:firstLineChars="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25" w:type="dxa"/>
            <w:gridSpan w:val="2"/>
            <w:vAlign w:val="center"/>
          </w:tcPr>
          <w:p>
            <w:pPr>
              <w:spacing w:line="360" w:lineRule="auto"/>
              <w:ind w:firstLine="140" w:firstLineChars="50"/>
              <w:jc w:val="center"/>
              <w:rPr>
                <w:rFonts w:ascii="仿宋_GB2312" w:hAnsi="宋体" w:eastAsia="仿宋_GB2312"/>
                <w:szCs w:val="21"/>
              </w:rPr>
            </w:pPr>
            <w:r>
              <w:rPr>
                <w:rFonts w:hint="eastAsia" w:ascii="仿宋_GB2312" w:hAnsi="宋体" w:eastAsia="仿宋_GB2312"/>
                <w:szCs w:val="21"/>
              </w:rPr>
              <w:t>实验项目负责人签名</w:t>
            </w:r>
          </w:p>
        </w:tc>
        <w:tc>
          <w:tcPr>
            <w:tcW w:w="1447" w:type="dxa"/>
            <w:gridSpan w:val="3"/>
            <w:vAlign w:val="center"/>
          </w:tcPr>
          <w:p>
            <w:pPr>
              <w:spacing w:line="360" w:lineRule="auto"/>
              <w:ind w:firstLine="140" w:firstLineChars="50"/>
              <w:jc w:val="center"/>
              <w:rPr>
                <w:rFonts w:ascii="仿宋_GB2312" w:hAnsi="宋体" w:eastAsia="仿宋_GB2312"/>
                <w:szCs w:val="21"/>
              </w:rPr>
            </w:pPr>
          </w:p>
        </w:tc>
        <w:tc>
          <w:tcPr>
            <w:tcW w:w="1701" w:type="dxa"/>
            <w:gridSpan w:val="2"/>
            <w:vAlign w:val="center"/>
          </w:tcPr>
          <w:p>
            <w:pPr>
              <w:spacing w:line="360" w:lineRule="auto"/>
              <w:ind w:firstLine="140" w:firstLineChars="50"/>
              <w:jc w:val="center"/>
              <w:rPr>
                <w:rFonts w:ascii="仿宋_GB2312" w:hAnsi="宋体" w:eastAsia="仿宋_GB2312"/>
                <w:szCs w:val="21"/>
              </w:rPr>
            </w:pPr>
            <w:r>
              <w:rPr>
                <w:rFonts w:hint="eastAsia" w:ascii="仿宋_GB2312" w:hAnsi="宋体" w:eastAsia="仿宋_GB2312"/>
                <w:szCs w:val="21"/>
              </w:rPr>
              <w:t>电 话</w:t>
            </w:r>
          </w:p>
        </w:tc>
        <w:tc>
          <w:tcPr>
            <w:tcW w:w="3854" w:type="dxa"/>
            <w:gridSpan w:val="3"/>
            <w:vAlign w:val="center"/>
          </w:tcPr>
          <w:p>
            <w:pPr>
              <w:spacing w:line="360" w:lineRule="auto"/>
              <w:ind w:firstLine="140" w:firstLineChars="5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279" w:type="dxa"/>
            <w:vAlign w:val="center"/>
          </w:tcPr>
          <w:p>
            <w:pPr>
              <w:spacing w:line="360" w:lineRule="auto"/>
              <w:ind w:firstLine="140" w:firstLineChars="50"/>
              <w:jc w:val="center"/>
              <w:rPr>
                <w:rFonts w:ascii="仿宋_GB2312" w:hAnsi="宋体" w:eastAsia="仿宋_GB2312"/>
                <w:szCs w:val="21"/>
              </w:rPr>
            </w:pPr>
            <w:r>
              <w:rPr>
                <w:rFonts w:hint="eastAsia" w:ascii="仿宋_GB2312" w:hAnsi="宋体" w:eastAsia="仿宋_GB2312"/>
                <w:szCs w:val="21"/>
              </w:rPr>
              <w:t>残存剧毒品及容器处置情况</w:t>
            </w:r>
          </w:p>
        </w:tc>
        <w:tc>
          <w:tcPr>
            <w:tcW w:w="8248" w:type="dxa"/>
            <w:gridSpan w:val="9"/>
            <w:vAlign w:val="center"/>
          </w:tcPr>
          <w:p>
            <w:pPr>
              <w:spacing w:line="360" w:lineRule="auto"/>
              <w:ind w:firstLine="140" w:firstLineChars="50"/>
              <w:rPr>
                <w:rFonts w:ascii="仿宋_GB2312" w:hAnsi="宋体" w:eastAsia="仿宋_GB2312"/>
                <w:szCs w:val="21"/>
              </w:rPr>
            </w:pPr>
          </w:p>
          <w:p>
            <w:pPr>
              <w:spacing w:line="360" w:lineRule="auto"/>
              <w:rPr>
                <w:rFonts w:ascii="仿宋_GB2312" w:hAnsi="宋体" w:eastAsia="仿宋_GB2312"/>
                <w:szCs w:val="21"/>
              </w:rPr>
            </w:pPr>
          </w:p>
          <w:p>
            <w:pPr>
              <w:spacing w:line="360" w:lineRule="auto"/>
              <w:ind w:firstLine="140" w:firstLineChars="50"/>
              <w:rPr>
                <w:rFonts w:ascii="仿宋_GB2312" w:hAnsi="宋体" w:eastAsia="仿宋_GB2312"/>
                <w:szCs w:val="21"/>
              </w:rPr>
            </w:pPr>
            <w:r>
              <w:rPr>
                <w:rFonts w:hint="eastAsia" w:ascii="仿宋_GB2312" w:hAnsi="宋体" w:eastAsia="仿宋_GB2312"/>
                <w:szCs w:val="21"/>
              </w:rPr>
              <w:t>经办人（签名）：                     日期：</w:t>
            </w:r>
          </w:p>
          <w:p>
            <w:pPr>
              <w:spacing w:line="360" w:lineRule="auto"/>
              <w:ind w:firstLine="140" w:firstLineChars="50"/>
              <w:rPr>
                <w:rFonts w:ascii="仿宋_GB2312" w:hAnsi="宋体" w:eastAsia="仿宋_GB2312"/>
                <w:szCs w:val="21"/>
              </w:rPr>
            </w:pPr>
          </w:p>
        </w:tc>
      </w:tr>
    </w:tbl>
    <w:p>
      <w:pPr>
        <w:ind w:firstLine="480" w:firstLineChars="200"/>
        <w:rPr>
          <w:rFonts w:ascii="仿宋_GB2312" w:hAnsi="宋体" w:eastAsia="仿宋_GB2312"/>
          <w:sz w:val="24"/>
          <w:szCs w:val="24"/>
        </w:rPr>
      </w:pPr>
      <w:r>
        <w:rPr>
          <w:rFonts w:hint="eastAsia" w:ascii="仿宋_GB2312" w:hAnsi="宋体" w:eastAsia="仿宋_GB2312"/>
          <w:sz w:val="24"/>
          <w:szCs w:val="24"/>
        </w:rPr>
        <w:t>注：1.领用的剧毒化学品一次没有用完，必须放入保险柜储存。保险柜钥匙（密码）必须由两人分别保存,并同时到场时才能开关;</w:t>
      </w:r>
    </w:p>
    <w:p>
      <w:pPr>
        <w:ind w:firstLine="960" w:firstLineChars="400"/>
        <w:rPr>
          <w:sz w:val="24"/>
          <w:szCs w:val="24"/>
        </w:rPr>
      </w:pPr>
      <w:r>
        <w:rPr>
          <w:rFonts w:hint="eastAsia" w:ascii="仿宋_GB2312" w:hAnsi="宋体" w:eastAsia="仿宋_GB2312"/>
          <w:sz w:val="24"/>
          <w:szCs w:val="24"/>
        </w:rPr>
        <w:t>2.剧毒品使用完或要处理残存物时，将本表格与原包装瓶一起交回危化品仓库。</w:t>
      </w:r>
    </w:p>
    <w:p>
      <w:pPr>
        <w:widowControl/>
        <w:jc w:val="left"/>
        <w:rPr>
          <w:rFonts w:ascii="宋体" w:hAnsi="宋体"/>
          <w:color w:val="000000"/>
          <w:kern w:val="0"/>
          <w:sz w:val="24"/>
          <w:szCs w:val="24"/>
        </w:rPr>
      </w:pPr>
      <w:r>
        <w:rPr>
          <w:rFonts w:ascii="宋体" w:hAnsi="宋体"/>
          <w:color w:val="000000"/>
          <w:kern w:val="0"/>
          <w:sz w:val="24"/>
          <w:szCs w:val="24"/>
        </w:rPr>
        <w:br w:type="page"/>
      </w:r>
    </w:p>
    <w:p>
      <w:pPr>
        <w:pStyle w:val="2"/>
      </w:pPr>
      <w:bookmarkStart w:id="68" w:name="_Toc46402437"/>
      <w:r>
        <w:rPr>
          <w:rFonts w:hint="eastAsia"/>
        </w:rPr>
        <w:t>衢州学院危险化学品安全管理办法(修订)</w:t>
      </w:r>
      <w:bookmarkEnd w:id="68"/>
    </w:p>
    <w:p>
      <w:pPr>
        <w:widowControl/>
        <w:spacing w:before="100" w:beforeAutospacing="1" w:after="100" w:afterAutospacing="1" w:line="540" w:lineRule="exact"/>
        <w:jc w:val="center"/>
        <w:rPr>
          <w:rFonts w:ascii="黑体" w:hAnsi="黑体" w:eastAsia="黑体" w:cs="Helvetica"/>
          <w:color w:val="000000"/>
          <w:kern w:val="0"/>
          <w:sz w:val="32"/>
          <w:szCs w:val="32"/>
        </w:rPr>
      </w:pPr>
      <w:r>
        <w:rPr>
          <w:rFonts w:ascii="黑体" w:hAnsi="黑体" w:eastAsia="黑体" w:cs="Helvetica"/>
          <w:b/>
          <w:bCs/>
          <w:color w:val="000000"/>
          <w:kern w:val="0"/>
          <w:sz w:val="32"/>
          <w:szCs w:val="32"/>
        </w:rPr>
        <w:t xml:space="preserve">第一章 总 </w:t>
      </w:r>
      <w:r>
        <w:rPr>
          <w:rFonts w:hint="eastAsia" w:ascii="黑体" w:hAnsi="黑体" w:eastAsia="黑体" w:cs="Helvetica"/>
          <w:b/>
          <w:bCs/>
          <w:color w:val="000000"/>
          <w:kern w:val="0"/>
          <w:sz w:val="32"/>
          <w:szCs w:val="32"/>
        </w:rPr>
        <w:t xml:space="preserve"> </w:t>
      </w:r>
      <w:r>
        <w:rPr>
          <w:rFonts w:ascii="黑体" w:hAnsi="黑体" w:eastAsia="黑体" w:cs="Helvetica"/>
          <w:b/>
          <w:bCs/>
          <w:color w:val="000000"/>
          <w:kern w:val="0"/>
          <w:sz w:val="32"/>
          <w:szCs w:val="32"/>
        </w:rPr>
        <w:t>则</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第一条</w:t>
      </w:r>
      <w:r>
        <w:rPr>
          <w:rFonts w:ascii="宋体" w:hAnsi="宋体" w:cs="Helvetica"/>
          <w:color w:val="000000"/>
          <w:kern w:val="0"/>
          <w:sz w:val="24"/>
        </w:rPr>
        <w:t xml:space="preserve">  为</w:t>
      </w:r>
      <w:r>
        <w:rPr>
          <w:rFonts w:hint="eastAsia" w:ascii="宋体" w:hAnsi="宋体" w:cs="Helvetica"/>
          <w:color w:val="000000"/>
          <w:kern w:val="0"/>
          <w:sz w:val="24"/>
        </w:rPr>
        <w:t>进一步规范和加强学校</w:t>
      </w:r>
      <w:r>
        <w:rPr>
          <w:rFonts w:ascii="宋体" w:hAnsi="宋体" w:cs="Helvetica"/>
          <w:color w:val="000000"/>
          <w:kern w:val="0"/>
          <w:sz w:val="24"/>
        </w:rPr>
        <w:t>危险化学品安全管理</w:t>
      </w:r>
      <w:r>
        <w:rPr>
          <w:rFonts w:hint="eastAsia" w:ascii="宋体" w:hAnsi="宋体" w:cs="Helvetica"/>
          <w:color w:val="000000"/>
          <w:kern w:val="0"/>
          <w:sz w:val="24"/>
        </w:rPr>
        <w:t>，预防和减少</w:t>
      </w:r>
      <w:r>
        <w:rPr>
          <w:rFonts w:ascii="宋体" w:hAnsi="宋体" w:cs="Helvetica"/>
          <w:color w:val="000000"/>
          <w:kern w:val="0"/>
          <w:sz w:val="24"/>
        </w:rPr>
        <w:t>危险化学品</w:t>
      </w:r>
      <w:r>
        <w:rPr>
          <w:rFonts w:hint="eastAsia" w:ascii="宋体" w:hAnsi="宋体" w:cs="Helvetica"/>
          <w:color w:val="000000"/>
          <w:kern w:val="0"/>
          <w:sz w:val="24"/>
        </w:rPr>
        <w:t>安全事故，维持</w:t>
      </w:r>
      <w:r>
        <w:rPr>
          <w:rFonts w:ascii="宋体" w:hAnsi="宋体" w:cs="Helvetica"/>
          <w:color w:val="000000"/>
          <w:kern w:val="0"/>
          <w:sz w:val="24"/>
        </w:rPr>
        <w:t>正常教学、科研秩序，</w:t>
      </w:r>
      <w:r>
        <w:rPr>
          <w:rFonts w:hint="eastAsia" w:ascii="宋体" w:hAnsi="宋体" w:cs="Helvetica"/>
          <w:color w:val="000000"/>
          <w:kern w:val="0"/>
          <w:sz w:val="24"/>
        </w:rPr>
        <w:t>保障师生员工人身和财产安全，根据</w:t>
      </w:r>
      <w:r>
        <w:rPr>
          <w:rFonts w:ascii="宋体" w:hAnsi="宋体" w:cs="Helvetica"/>
          <w:color w:val="000000"/>
          <w:kern w:val="0"/>
          <w:sz w:val="24"/>
        </w:rPr>
        <w:t>《危险化学品安全管理条例》(国务院令第591号)</w:t>
      </w:r>
      <w:r>
        <w:rPr>
          <w:rFonts w:hint="eastAsia" w:ascii="宋体" w:hAnsi="宋体" w:cs="Helvetica"/>
          <w:color w:val="000000"/>
          <w:kern w:val="0"/>
          <w:sz w:val="24"/>
        </w:rPr>
        <w:t>和</w:t>
      </w:r>
      <w:r>
        <w:rPr>
          <w:rFonts w:ascii="宋体" w:hAnsi="宋体" w:cs="Helvetica"/>
          <w:color w:val="000000"/>
          <w:kern w:val="0"/>
          <w:sz w:val="24"/>
        </w:rPr>
        <w:t>《</w:t>
      </w:r>
      <w:r>
        <w:rPr>
          <w:rFonts w:hint="eastAsia" w:ascii="宋体" w:hAnsi="宋体" w:cs="Helvetica"/>
          <w:color w:val="000000"/>
          <w:kern w:val="0"/>
          <w:sz w:val="24"/>
        </w:rPr>
        <w:t>衢州学院</w:t>
      </w:r>
      <w:r>
        <w:rPr>
          <w:rFonts w:ascii="宋体" w:hAnsi="宋体" w:cs="Helvetica"/>
          <w:color w:val="000000"/>
          <w:kern w:val="0"/>
          <w:sz w:val="24"/>
        </w:rPr>
        <w:t>实验室安全管理办法》（</w:t>
      </w:r>
      <w:r>
        <w:rPr>
          <w:rFonts w:hint="eastAsia" w:ascii="宋体" w:hAnsi="宋体" w:cs="Helvetica"/>
          <w:color w:val="000000"/>
          <w:kern w:val="0"/>
          <w:sz w:val="24"/>
        </w:rPr>
        <w:t>衢院设</w:t>
      </w:r>
      <w:r>
        <w:rPr>
          <w:rFonts w:ascii="宋体" w:hAnsi="宋体" w:cs="Helvetica"/>
          <w:color w:val="000000"/>
          <w:kern w:val="0"/>
          <w:sz w:val="24"/>
        </w:rPr>
        <w:t>〔20</w:t>
      </w:r>
      <w:r>
        <w:rPr>
          <w:rFonts w:hint="eastAsia" w:ascii="宋体" w:hAnsi="宋体" w:cs="Helvetica"/>
          <w:color w:val="000000"/>
          <w:kern w:val="0"/>
          <w:sz w:val="24"/>
        </w:rPr>
        <w:t>16</w:t>
      </w:r>
      <w:r>
        <w:rPr>
          <w:rFonts w:ascii="宋体" w:hAnsi="宋体" w:cs="Helvetica"/>
          <w:color w:val="000000"/>
          <w:kern w:val="0"/>
          <w:sz w:val="24"/>
        </w:rPr>
        <w:t>〕</w:t>
      </w:r>
      <w:r>
        <w:rPr>
          <w:rFonts w:hint="eastAsia" w:ascii="宋体" w:hAnsi="宋体" w:cs="Helvetica"/>
          <w:color w:val="000000"/>
          <w:kern w:val="0"/>
          <w:sz w:val="24"/>
        </w:rPr>
        <w:t>3</w:t>
      </w:r>
      <w:r>
        <w:rPr>
          <w:rFonts w:ascii="宋体" w:hAnsi="宋体" w:cs="Helvetica"/>
          <w:color w:val="000000"/>
          <w:kern w:val="0"/>
          <w:sz w:val="24"/>
        </w:rPr>
        <w:t>号）</w:t>
      </w:r>
      <w:r>
        <w:rPr>
          <w:rFonts w:hint="eastAsia" w:ascii="宋体" w:hAnsi="宋体" w:cs="Helvetica"/>
          <w:color w:val="000000"/>
          <w:kern w:val="0"/>
          <w:sz w:val="24"/>
        </w:rPr>
        <w:t>等</w:t>
      </w:r>
      <w:r>
        <w:rPr>
          <w:rFonts w:ascii="宋体" w:hAnsi="宋体" w:cs="Helvetica"/>
          <w:color w:val="000000"/>
          <w:kern w:val="0"/>
          <w:sz w:val="24"/>
        </w:rPr>
        <w:t>相关规定，</w:t>
      </w:r>
      <w:r>
        <w:rPr>
          <w:rFonts w:hint="eastAsia" w:ascii="宋体" w:hAnsi="宋体" w:cs="Helvetica"/>
          <w:color w:val="000000"/>
          <w:kern w:val="0"/>
          <w:sz w:val="24"/>
        </w:rPr>
        <w:t>结合学校实际,特修订</w:t>
      </w:r>
      <w:r>
        <w:rPr>
          <w:rFonts w:ascii="宋体" w:hAnsi="宋体" w:cs="Helvetica"/>
          <w:color w:val="000000"/>
          <w:kern w:val="0"/>
          <w:sz w:val="24"/>
        </w:rPr>
        <w:t>本办法。</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第二条</w:t>
      </w:r>
      <w:r>
        <w:rPr>
          <w:rFonts w:ascii="宋体" w:hAnsi="宋体" w:cs="Helvetica"/>
          <w:color w:val="000000"/>
          <w:kern w:val="0"/>
          <w:sz w:val="24"/>
        </w:rPr>
        <w:t xml:space="preserve">  本办法所称危险化学品，</w:t>
      </w:r>
      <w:r>
        <w:rPr>
          <w:rFonts w:hint="eastAsia" w:ascii="宋体" w:hAnsi="宋体" w:cs="Helvetica"/>
          <w:color w:val="000000"/>
          <w:kern w:val="0"/>
          <w:sz w:val="24"/>
        </w:rPr>
        <w:t>是指列入国家标准规定的危险化学品目录，具有毒害、腐蚀、</w:t>
      </w:r>
      <w:r>
        <w:rPr>
          <w:rFonts w:ascii="宋体" w:hAnsi="宋体" w:cs="Helvetica"/>
          <w:color w:val="000000"/>
          <w:kern w:val="0"/>
          <w:sz w:val="24"/>
        </w:rPr>
        <w:t>爆炸</w:t>
      </w:r>
      <w:r>
        <w:rPr>
          <w:rFonts w:hint="eastAsia" w:ascii="宋体" w:hAnsi="宋体" w:cs="Helvetica"/>
          <w:color w:val="000000"/>
          <w:kern w:val="0"/>
          <w:sz w:val="24"/>
        </w:rPr>
        <w:t>、燃烧、助燃等性质，对人体、设施、环境具有危害的剧毒化学品和其他化学品。</w:t>
      </w:r>
      <w:r>
        <w:rPr>
          <w:rFonts w:ascii="宋体" w:hAnsi="宋体" w:cs="Helvetica"/>
          <w:color w:val="000000"/>
          <w:kern w:val="0"/>
          <w:sz w:val="24"/>
        </w:rPr>
        <w:t>包括爆炸品、压缩气体和液化气体、易燃液体、易燃固体、自燃物品和易燃物品、氧化剂和有机过氧化物、腐蚀品、易制毒品、剧毒品和麻醉品等。</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 xml:space="preserve">第三条  </w:t>
      </w:r>
      <w:r>
        <w:rPr>
          <w:rFonts w:hint="eastAsia" w:ascii="宋体" w:hAnsi="宋体" w:cs="Helvetica"/>
          <w:bCs/>
          <w:color w:val="000000"/>
          <w:kern w:val="0"/>
          <w:sz w:val="24"/>
        </w:rPr>
        <w:t>本办法适用于学校各单位所有涉及</w:t>
      </w:r>
      <w:r>
        <w:rPr>
          <w:rFonts w:ascii="宋体" w:hAnsi="宋体" w:cs="Helvetica"/>
          <w:color w:val="000000"/>
          <w:kern w:val="0"/>
          <w:sz w:val="24"/>
        </w:rPr>
        <w:t>危险化学品</w:t>
      </w:r>
      <w:r>
        <w:rPr>
          <w:rFonts w:hint="eastAsia" w:ascii="宋体" w:hAnsi="宋体" w:cs="Helvetica"/>
          <w:color w:val="000000"/>
          <w:kern w:val="0"/>
          <w:sz w:val="24"/>
        </w:rPr>
        <w:t>的教学、科研和社会服务等活动的安全监督与管理。包括</w:t>
      </w:r>
      <w:r>
        <w:rPr>
          <w:rFonts w:ascii="宋体" w:hAnsi="宋体" w:cs="Helvetica"/>
          <w:color w:val="000000"/>
          <w:kern w:val="0"/>
          <w:sz w:val="24"/>
        </w:rPr>
        <w:t>危险化学品</w:t>
      </w:r>
      <w:r>
        <w:rPr>
          <w:rFonts w:hint="eastAsia" w:ascii="宋体" w:hAnsi="宋体" w:cs="Helvetica"/>
          <w:color w:val="000000"/>
          <w:kern w:val="0"/>
          <w:sz w:val="24"/>
        </w:rPr>
        <w:t>的采购</w:t>
      </w:r>
      <w:r>
        <w:rPr>
          <w:rFonts w:ascii="宋体" w:hAnsi="宋体" w:cs="Helvetica"/>
          <w:color w:val="000000"/>
          <w:kern w:val="0"/>
          <w:sz w:val="24"/>
        </w:rPr>
        <w:t>、存储、使用、运输和</w:t>
      </w:r>
      <w:r>
        <w:rPr>
          <w:rFonts w:hint="eastAsia" w:ascii="宋体" w:hAnsi="宋体" w:cs="Helvetica"/>
          <w:color w:val="000000"/>
          <w:kern w:val="0"/>
          <w:sz w:val="24"/>
        </w:rPr>
        <w:t>处置等全过程管理（以下统称为全过程管理）</w:t>
      </w:r>
      <w:r>
        <w:rPr>
          <w:rFonts w:ascii="宋体" w:hAnsi="宋体" w:cs="Helvetica"/>
          <w:color w:val="000000"/>
          <w:kern w:val="0"/>
          <w:sz w:val="24"/>
        </w:rPr>
        <w:t>。</w:t>
      </w:r>
    </w:p>
    <w:p>
      <w:pPr>
        <w:widowControl/>
        <w:spacing w:before="100" w:beforeAutospacing="1" w:after="100" w:afterAutospacing="1" w:line="540" w:lineRule="exact"/>
        <w:jc w:val="center"/>
        <w:rPr>
          <w:rFonts w:ascii="黑体" w:hAnsi="黑体" w:eastAsia="黑体" w:cs="Helvetica"/>
          <w:b/>
          <w:bCs/>
          <w:color w:val="000000"/>
          <w:kern w:val="0"/>
          <w:sz w:val="32"/>
          <w:szCs w:val="32"/>
        </w:rPr>
      </w:pPr>
      <w:r>
        <w:rPr>
          <w:rFonts w:ascii="黑体" w:hAnsi="黑体" w:eastAsia="黑体" w:cs="Helvetica"/>
          <w:b/>
          <w:bCs/>
          <w:color w:val="000000"/>
          <w:kern w:val="0"/>
          <w:sz w:val="32"/>
          <w:szCs w:val="32"/>
        </w:rPr>
        <w:t>第二章</w:t>
      </w:r>
      <w:r>
        <w:rPr>
          <w:rFonts w:hint="eastAsia" w:ascii="黑体" w:hAnsi="黑体" w:eastAsia="黑体" w:cs="Helvetica"/>
          <w:b/>
          <w:bCs/>
          <w:color w:val="000000"/>
          <w:kern w:val="0"/>
          <w:sz w:val="32"/>
          <w:szCs w:val="32"/>
        </w:rPr>
        <w:t xml:space="preserve"> 管理职责</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第四条</w:t>
      </w:r>
      <w:r>
        <w:rPr>
          <w:rFonts w:ascii="宋体" w:hAnsi="宋体" w:cs="Helvetica"/>
          <w:color w:val="000000"/>
          <w:kern w:val="0"/>
          <w:sz w:val="24"/>
        </w:rPr>
        <w:t xml:space="preserve">  实验室与资产管理处是学校危险化学品</w:t>
      </w:r>
      <w:r>
        <w:rPr>
          <w:rFonts w:hint="eastAsia" w:ascii="宋体" w:hAnsi="宋体" w:cs="Helvetica"/>
          <w:color w:val="000000"/>
          <w:kern w:val="0"/>
          <w:sz w:val="24"/>
        </w:rPr>
        <w:t>安全</w:t>
      </w:r>
      <w:r>
        <w:rPr>
          <w:rFonts w:ascii="宋体" w:hAnsi="宋体" w:cs="Helvetica"/>
          <w:color w:val="000000"/>
          <w:kern w:val="0"/>
          <w:sz w:val="24"/>
        </w:rPr>
        <w:t>管理的</w:t>
      </w:r>
      <w:r>
        <w:rPr>
          <w:rFonts w:hint="eastAsia" w:ascii="宋体" w:hAnsi="宋体" w:cs="Helvetica"/>
          <w:color w:val="000000"/>
          <w:kern w:val="0"/>
          <w:sz w:val="24"/>
        </w:rPr>
        <w:t>职能</w:t>
      </w:r>
      <w:r>
        <w:rPr>
          <w:rFonts w:ascii="宋体" w:hAnsi="宋体" w:cs="Helvetica"/>
          <w:color w:val="000000"/>
          <w:kern w:val="0"/>
          <w:sz w:val="24"/>
        </w:rPr>
        <w:t>部门，</w:t>
      </w:r>
      <w:r>
        <w:rPr>
          <w:rFonts w:hint="eastAsia" w:ascii="宋体" w:hAnsi="宋体" w:cs="Helvetica"/>
          <w:color w:val="000000"/>
          <w:kern w:val="0"/>
          <w:sz w:val="24"/>
        </w:rPr>
        <w:t>其主要职责是：</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（一）负责组织制定学校危险化学品安全管理规章制度和事故应急预案，指导危险化学品使用单位制定本单位管理制度和事故应急预案，监督制度执行，建立健全安全责任制。</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（二）受理和审核危险化学品使用单位有关危险化学品的申购，协助学校采购办做好危险化学品采购许可证等报政府主管部门的审批。</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（三）负责监督和检查学校危险化学品全过程管理工作的开展，以及危险化学品管理台账的建立健全。</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（四）定期组织开展校内危险化学品</w:t>
      </w:r>
      <w:r>
        <w:rPr>
          <w:rFonts w:ascii="宋体" w:hAnsi="宋体" w:cs="Helvetica"/>
          <w:color w:val="000000"/>
          <w:kern w:val="0"/>
          <w:sz w:val="24"/>
        </w:rPr>
        <w:t>存储、使用</w:t>
      </w:r>
      <w:r>
        <w:rPr>
          <w:rFonts w:hint="eastAsia" w:ascii="宋体" w:hAnsi="宋体" w:cs="Helvetica"/>
          <w:color w:val="000000"/>
          <w:kern w:val="0"/>
          <w:sz w:val="24"/>
        </w:rPr>
        <w:t>情况检查或进行不定期的巡查，督促存在安全隐患单位及时做好整改落实工作。</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（五）负责危险化学品丢失、被盗、泄漏事件或引发火灾等安全事故发生时的上报和协助做好事故应急处理等工作。</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第五条</w:t>
      </w:r>
      <w:r>
        <w:rPr>
          <w:rFonts w:hint="eastAsia" w:ascii="宋体" w:hAnsi="宋体" w:cs="Helvetica"/>
          <w:b/>
          <w:bCs/>
          <w:color w:val="000000"/>
          <w:kern w:val="0"/>
          <w:sz w:val="24"/>
        </w:rPr>
        <w:t xml:space="preserve">  </w:t>
      </w:r>
      <w:r>
        <w:rPr>
          <w:rFonts w:hint="eastAsia" w:ascii="宋体" w:hAnsi="宋体" w:cs="Helvetica"/>
          <w:color w:val="000000"/>
          <w:kern w:val="0"/>
          <w:sz w:val="24"/>
        </w:rPr>
        <w:t>各危险化学品使用单位是危险化学品安全管理的责任主体单位，其主要职责是：</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一）按照“谁使用、谁负责，谁主管、谁负责，谁出问题、谁负责”的原则，危险化学品实行本单位分管安全工作负责人的全面负责制管理模式，逐级建立、完善和落实安全工作责任制，并指定至少一名安全管理员负责本单位危险化学品的日常安全管理、检查和监督工作。</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二）贯彻“安全第一，预防为主”的方针，结合本单位工作实际，制定危险化学品安全管理制度（含危险化学品废弃物管理）、事故应急预案和操作规程，督促规章制度的执行。依据学校实验室安全管理办法，加强科研项目和危险化学品使用的安全风险评估，规范落实危险化学品全过程管理。</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三）加强本单位师生有关危险化学品的安全与法制教育，组织必要的安全管理、技能和事故应急处置培训和演练，提高师生安全防范意识和应急处理能力。开展经常性的安全检查活动，及时消除安全隐患，有效防止事故发生。</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四）根据本单位所涉及危险化学品的种类、危险特征、使用量、使用方式和风险评估情况，加强危险化学品申购环节的审核或审批，配置相应的安全防护设施、用具和应急救援物资，确保危险化学品的安全使用和突发性安全事故的应急处理。</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五）本单位各实验室负责人负责本实验室所有危险化学品的安全管理工作。包括：实验人员安全教育、制定张贴安全操作规程和应急措施、配备安全防护设施，督促实验人员安全规范操作，做好每批次危险化学品的</w:t>
      </w:r>
      <w:r>
        <w:rPr>
          <w:rFonts w:ascii="宋体" w:hAnsi="宋体" w:cs="Helvetica"/>
          <w:color w:val="000000"/>
          <w:kern w:val="0"/>
          <w:sz w:val="24"/>
        </w:rPr>
        <w:t>申购、</w:t>
      </w:r>
      <w:r>
        <w:rPr>
          <w:rFonts w:hint="eastAsia" w:ascii="宋体" w:hAnsi="宋体" w:cs="Helvetica"/>
          <w:color w:val="000000"/>
          <w:kern w:val="0"/>
          <w:sz w:val="24"/>
        </w:rPr>
        <w:t>入库、</w:t>
      </w:r>
      <w:r>
        <w:rPr>
          <w:rFonts w:ascii="宋体" w:hAnsi="宋体" w:cs="Helvetica"/>
          <w:color w:val="000000"/>
          <w:kern w:val="0"/>
          <w:sz w:val="24"/>
        </w:rPr>
        <w:t>领用、退回、废液收集和存放</w:t>
      </w:r>
      <w:r>
        <w:rPr>
          <w:rFonts w:hint="eastAsia" w:ascii="宋体" w:hAnsi="宋体" w:cs="Helvetica"/>
          <w:color w:val="000000"/>
          <w:kern w:val="0"/>
          <w:sz w:val="24"/>
        </w:rPr>
        <w:t>工作</w:t>
      </w:r>
      <w:r>
        <w:rPr>
          <w:rFonts w:ascii="宋体" w:hAnsi="宋体" w:cs="Helvetica"/>
          <w:color w:val="000000"/>
          <w:kern w:val="0"/>
          <w:sz w:val="24"/>
        </w:rPr>
        <w:t>以及</w:t>
      </w:r>
      <w:r>
        <w:rPr>
          <w:rFonts w:hint="eastAsia" w:ascii="宋体" w:hAnsi="宋体" w:cs="Helvetica"/>
          <w:color w:val="000000"/>
          <w:kern w:val="0"/>
          <w:sz w:val="24"/>
        </w:rPr>
        <w:t>相关台账记录，落实安排实验室日常安全卫生值班与检查等。</w:t>
      </w:r>
    </w:p>
    <w:p>
      <w:pPr>
        <w:widowControl/>
        <w:spacing w:before="100" w:beforeAutospacing="1" w:after="100" w:afterAutospacing="1" w:line="540" w:lineRule="exact"/>
        <w:jc w:val="center"/>
        <w:rPr>
          <w:rFonts w:ascii="黑体" w:hAnsi="黑体" w:eastAsia="黑体" w:cs="Helvetica"/>
          <w:b/>
          <w:bCs/>
          <w:color w:val="000000"/>
          <w:kern w:val="0"/>
          <w:sz w:val="32"/>
          <w:szCs w:val="32"/>
        </w:rPr>
      </w:pPr>
      <w:r>
        <w:rPr>
          <w:rFonts w:ascii="黑体" w:hAnsi="黑体" w:eastAsia="黑体" w:cs="Helvetica"/>
          <w:b/>
          <w:bCs/>
          <w:color w:val="000000"/>
          <w:kern w:val="0"/>
          <w:sz w:val="32"/>
          <w:szCs w:val="32"/>
        </w:rPr>
        <w:t>第三章 危险化学品的申购</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 xml:space="preserve">第六条  </w:t>
      </w:r>
      <w:r>
        <w:rPr>
          <w:rFonts w:ascii="宋体" w:hAnsi="宋体" w:cs="Helvetica"/>
          <w:color w:val="000000"/>
          <w:kern w:val="0"/>
          <w:sz w:val="24"/>
        </w:rPr>
        <w:t>危险化学品</w:t>
      </w:r>
      <w:r>
        <w:rPr>
          <w:rFonts w:hint="eastAsia" w:ascii="宋体" w:hAnsi="宋体" w:cs="Helvetica"/>
          <w:color w:val="000000"/>
          <w:kern w:val="0"/>
          <w:sz w:val="24"/>
        </w:rPr>
        <w:t>的申购必须符合教学、科研等工作的实际需要，使用单位</w:t>
      </w:r>
      <w:r>
        <w:rPr>
          <w:rFonts w:ascii="宋体" w:hAnsi="宋体" w:cs="Helvetica"/>
          <w:color w:val="000000"/>
          <w:kern w:val="0"/>
          <w:sz w:val="24"/>
        </w:rPr>
        <w:t>负责人</w:t>
      </w:r>
      <w:r>
        <w:rPr>
          <w:rFonts w:hint="eastAsia" w:ascii="宋体" w:hAnsi="宋体" w:cs="Helvetica"/>
          <w:color w:val="000000"/>
          <w:kern w:val="0"/>
          <w:sz w:val="24"/>
        </w:rPr>
        <w:t>应严格控制危险化学品的品种和数量审核或审批，严禁超量购买和储备。</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第七条</w:t>
      </w:r>
      <w:r>
        <w:rPr>
          <w:rFonts w:hint="eastAsia" w:ascii="宋体" w:hAnsi="宋体" w:cs="Helvetica"/>
          <w:bCs/>
          <w:color w:val="000000"/>
          <w:kern w:val="0"/>
          <w:sz w:val="24"/>
        </w:rPr>
        <w:t xml:space="preserve">  </w:t>
      </w:r>
      <w:r>
        <w:rPr>
          <w:rFonts w:ascii="宋体" w:hAnsi="宋体" w:cs="Helvetica"/>
          <w:color w:val="000000"/>
          <w:kern w:val="0"/>
          <w:sz w:val="24"/>
        </w:rPr>
        <w:t>危险化学品申购须单独填写</w:t>
      </w:r>
      <w:r>
        <w:rPr>
          <w:rFonts w:hint="eastAsia" w:ascii="宋体" w:hAnsi="宋体" w:cs="Helvetica"/>
          <w:color w:val="000000"/>
          <w:kern w:val="0"/>
          <w:sz w:val="24"/>
        </w:rPr>
        <w:t>《衢州学院危险化学品申购审批单》，并根据不同类型按以下规定程序进行审批：</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（一）购买剧毒化学品、易制毒化学品、爆炸品等管制类</w:t>
      </w:r>
      <w:r>
        <w:rPr>
          <w:rFonts w:ascii="宋体" w:hAnsi="宋体" w:cs="Helvetica"/>
          <w:color w:val="000000"/>
          <w:kern w:val="0"/>
          <w:sz w:val="24"/>
        </w:rPr>
        <w:t>危险化学品</w:t>
      </w:r>
      <w:r>
        <w:rPr>
          <w:rFonts w:hint="eastAsia" w:ascii="宋体" w:hAnsi="宋体" w:cs="Helvetica"/>
          <w:color w:val="000000"/>
          <w:kern w:val="0"/>
          <w:sz w:val="24"/>
        </w:rPr>
        <w:t>，由实验室负责人和所在单位负责人审核，学校保卫处和实验室与资产管理处审批。</w:t>
      </w:r>
    </w:p>
    <w:p>
      <w:pPr>
        <w:widowControl/>
        <w:spacing w:before="100" w:beforeAutospacing="1" w:after="100" w:afterAutospacing="1" w:line="540" w:lineRule="exact"/>
        <w:ind w:firstLine="480" w:firstLineChars="200"/>
        <w:contextualSpacing/>
        <w:jc w:val="left"/>
        <w:rPr>
          <w:rFonts w:ascii="宋体" w:hAnsi="宋体" w:cs="Helvetica"/>
          <w:color w:val="000000"/>
          <w:kern w:val="0"/>
          <w:sz w:val="24"/>
        </w:rPr>
      </w:pPr>
      <w:r>
        <w:rPr>
          <w:rFonts w:hint="eastAsia" w:ascii="宋体" w:hAnsi="宋体" w:cs="Helvetica"/>
          <w:color w:val="000000"/>
          <w:kern w:val="0"/>
          <w:sz w:val="24"/>
        </w:rPr>
        <w:t>（二）购买</w:t>
      </w:r>
      <w:r>
        <w:rPr>
          <w:rFonts w:ascii="宋体" w:hAnsi="宋体" w:cs="Helvetica"/>
          <w:color w:val="000000"/>
          <w:kern w:val="0"/>
          <w:sz w:val="24"/>
        </w:rPr>
        <w:t>易制</w:t>
      </w:r>
      <w:r>
        <w:rPr>
          <w:rFonts w:hint="eastAsia" w:ascii="宋体" w:hAnsi="宋体" w:cs="Helvetica"/>
          <w:color w:val="000000"/>
          <w:kern w:val="0"/>
          <w:sz w:val="24"/>
        </w:rPr>
        <w:t>爆品、</w:t>
      </w:r>
      <w:r>
        <w:rPr>
          <w:rFonts w:ascii="宋体" w:hAnsi="宋体" w:cs="Helvetica"/>
          <w:color w:val="000000"/>
          <w:kern w:val="0"/>
          <w:sz w:val="24"/>
        </w:rPr>
        <w:t>易燃品</w:t>
      </w:r>
      <w:r>
        <w:rPr>
          <w:rFonts w:hint="eastAsia" w:ascii="宋体" w:hAnsi="宋体" w:cs="Helvetica"/>
          <w:color w:val="000000"/>
          <w:kern w:val="0"/>
          <w:sz w:val="24"/>
        </w:rPr>
        <w:t>、</w:t>
      </w:r>
      <w:r>
        <w:rPr>
          <w:rFonts w:ascii="宋体" w:hAnsi="宋体" w:cs="Helvetica"/>
          <w:color w:val="000000"/>
          <w:kern w:val="0"/>
          <w:sz w:val="24"/>
        </w:rPr>
        <w:t>压缩气体</w:t>
      </w:r>
      <w:r>
        <w:rPr>
          <w:rFonts w:hint="eastAsia" w:ascii="宋体" w:hAnsi="宋体" w:cs="Helvetica"/>
          <w:color w:val="000000"/>
          <w:kern w:val="0"/>
          <w:sz w:val="24"/>
        </w:rPr>
        <w:t>和</w:t>
      </w:r>
      <w:r>
        <w:rPr>
          <w:rFonts w:ascii="宋体" w:hAnsi="宋体" w:cs="Helvetica"/>
          <w:color w:val="000000"/>
          <w:kern w:val="0"/>
          <w:sz w:val="24"/>
        </w:rPr>
        <w:t>液化气体</w:t>
      </w:r>
      <w:r>
        <w:rPr>
          <w:rFonts w:hint="eastAsia" w:ascii="宋体" w:hAnsi="宋体" w:cs="Helvetica"/>
          <w:color w:val="000000"/>
          <w:kern w:val="0"/>
          <w:sz w:val="24"/>
        </w:rPr>
        <w:t>等普通类</w:t>
      </w:r>
      <w:r>
        <w:rPr>
          <w:rFonts w:ascii="宋体" w:hAnsi="宋体" w:cs="Helvetica"/>
          <w:color w:val="000000"/>
          <w:kern w:val="0"/>
          <w:sz w:val="24"/>
        </w:rPr>
        <w:t>危险化学品</w:t>
      </w:r>
      <w:r>
        <w:rPr>
          <w:rFonts w:hint="eastAsia" w:ascii="宋体" w:hAnsi="宋体" w:cs="Helvetica"/>
          <w:color w:val="000000"/>
          <w:kern w:val="0"/>
          <w:sz w:val="24"/>
        </w:rPr>
        <w:t>，由实验室负责人审核，所在单位负责人审批。</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第八条</w:t>
      </w:r>
      <w:r>
        <w:rPr>
          <w:rFonts w:hint="eastAsia" w:ascii="宋体" w:hAnsi="宋体" w:cs="Helvetica"/>
          <w:b/>
          <w:bCs/>
          <w:color w:val="000000"/>
          <w:kern w:val="0"/>
          <w:sz w:val="24"/>
        </w:rPr>
        <w:t xml:space="preserve">  </w:t>
      </w:r>
      <w:r>
        <w:rPr>
          <w:rFonts w:hint="eastAsia" w:ascii="宋体" w:hAnsi="宋体" w:cs="Helvetica"/>
          <w:color w:val="000000"/>
          <w:kern w:val="0"/>
          <w:sz w:val="24"/>
        </w:rPr>
        <w:t>学校采购中心或危险化学品使用单位应依据《衢州学院危险化学品申购单》审批结果，按照《衢州学院采购管理办法（试行）》（衢院设〔2019〕1号）的规定实施采购。</w:t>
      </w:r>
      <w:r>
        <w:rPr>
          <w:rFonts w:ascii="宋体" w:hAnsi="宋体" w:cs="Helvetica"/>
          <w:color w:val="000000"/>
          <w:kern w:val="0"/>
          <w:sz w:val="24"/>
        </w:rPr>
        <w:t>危险化学品采购人员采购前必须仔细核对申购手续，必须在手续完备的情况下到具有危险化学品经营</w:t>
      </w:r>
      <w:r>
        <w:rPr>
          <w:rFonts w:hint="eastAsia" w:ascii="宋体" w:hAnsi="宋体" w:cs="Helvetica"/>
          <w:color w:val="000000"/>
          <w:kern w:val="0"/>
          <w:sz w:val="24"/>
        </w:rPr>
        <w:t>资质</w:t>
      </w:r>
      <w:r>
        <w:rPr>
          <w:rFonts w:ascii="宋体" w:hAnsi="宋体" w:cs="Helvetica"/>
          <w:color w:val="000000"/>
          <w:kern w:val="0"/>
          <w:sz w:val="24"/>
        </w:rPr>
        <w:t>的单位购置，同时妥善保管好相关的采购资料。</w:t>
      </w:r>
    </w:p>
    <w:p>
      <w:pPr>
        <w:spacing w:line="540" w:lineRule="exact"/>
        <w:ind w:firstLine="472" w:firstLineChars="196"/>
        <w:rPr>
          <w:rFonts w:ascii="宋体" w:hAnsi="宋体"/>
          <w:bCs/>
          <w:sz w:val="24"/>
        </w:rPr>
      </w:pPr>
      <w:r>
        <w:rPr>
          <w:rFonts w:ascii="宋体" w:hAnsi="宋体" w:cs="Helvetica"/>
          <w:b/>
          <w:bCs/>
          <w:color w:val="000000"/>
          <w:kern w:val="0"/>
          <w:sz w:val="24"/>
        </w:rPr>
        <w:t>第九条</w:t>
      </w:r>
      <w:r>
        <w:rPr>
          <w:rFonts w:hint="eastAsia" w:ascii="宋体" w:hAnsi="宋体" w:cs="Helvetica"/>
          <w:b/>
          <w:bCs/>
          <w:color w:val="000000"/>
          <w:kern w:val="0"/>
          <w:sz w:val="24"/>
        </w:rPr>
        <w:t xml:space="preserve"> </w:t>
      </w:r>
      <w:r>
        <w:rPr>
          <w:rFonts w:hint="eastAsia" w:ascii="宋体" w:hAnsi="宋体"/>
          <w:bCs/>
          <w:sz w:val="24"/>
        </w:rPr>
        <w:t>化学危险品运输必须使用或委托专门的车辆，装运时不得客货混装，禁止随身携带、夹带化学危险品乘坐公共交通工具。严禁校内任何单位和个人以任何理由私自购买、接受或转让危险化学品。</w:t>
      </w:r>
    </w:p>
    <w:p>
      <w:pPr>
        <w:widowControl/>
        <w:spacing w:before="100" w:beforeAutospacing="1" w:after="100" w:afterAutospacing="1" w:line="540" w:lineRule="exact"/>
        <w:ind w:firstLine="643" w:firstLineChars="200"/>
        <w:contextualSpacing/>
        <w:jc w:val="center"/>
        <w:rPr>
          <w:rFonts w:ascii="黑体" w:hAnsi="黑体" w:eastAsia="黑体" w:cs="Helvetica"/>
          <w:color w:val="000000"/>
          <w:kern w:val="0"/>
          <w:sz w:val="32"/>
          <w:szCs w:val="32"/>
        </w:rPr>
      </w:pPr>
      <w:r>
        <w:rPr>
          <w:rFonts w:ascii="黑体" w:hAnsi="黑体" w:eastAsia="黑体" w:cs="Helvetica"/>
          <w:b/>
          <w:bCs/>
          <w:color w:val="000000"/>
          <w:kern w:val="0"/>
          <w:sz w:val="32"/>
          <w:szCs w:val="32"/>
        </w:rPr>
        <w:t>第四章 危险化学品的</w:t>
      </w:r>
      <w:r>
        <w:rPr>
          <w:rFonts w:hint="eastAsia" w:ascii="黑体" w:hAnsi="黑体" w:eastAsia="黑体" w:cs="Helvetica"/>
          <w:b/>
          <w:bCs/>
          <w:color w:val="000000"/>
          <w:kern w:val="0"/>
          <w:sz w:val="32"/>
          <w:szCs w:val="32"/>
        </w:rPr>
        <w:t>存放</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 xml:space="preserve">第十条 </w:t>
      </w:r>
      <w:r>
        <w:rPr>
          <w:rFonts w:hint="eastAsia" w:ascii="宋体" w:hAnsi="宋体" w:cs="Helvetica"/>
          <w:b/>
          <w:bCs/>
          <w:color w:val="000000"/>
          <w:kern w:val="0"/>
          <w:sz w:val="24"/>
        </w:rPr>
        <w:t xml:space="preserve"> </w:t>
      </w:r>
      <w:r>
        <w:rPr>
          <w:rFonts w:hint="eastAsia" w:ascii="宋体" w:hAnsi="宋体" w:cs="Helvetica"/>
          <w:bCs/>
          <w:color w:val="000000"/>
          <w:kern w:val="0"/>
          <w:sz w:val="24"/>
        </w:rPr>
        <w:t>危险化学品应按有关安全规定存放在条件完备的专用仓库、专用场地或专用储存室（柜）内，根据危险物品的种类和安全特性设置相应的通风、防火、防水、防爆、防腐蚀、防盗、监控、报警等安全防护设施，并指定专人管理。</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第十一条</w:t>
      </w:r>
      <w:r>
        <w:rPr>
          <w:rFonts w:hint="eastAsia" w:ascii="宋体" w:hAnsi="宋体" w:cs="Helvetica"/>
          <w:b/>
          <w:bCs/>
          <w:color w:val="000000"/>
          <w:kern w:val="0"/>
          <w:sz w:val="24"/>
        </w:rPr>
        <w:t xml:space="preserve">  </w:t>
      </w:r>
      <w:r>
        <w:rPr>
          <w:rFonts w:ascii="宋体" w:hAnsi="宋体" w:cs="Helvetica"/>
          <w:color w:val="000000"/>
          <w:kern w:val="0"/>
          <w:sz w:val="24"/>
        </w:rPr>
        <w:t>购进的危险化学品由</w:t>
      </w:r>
      <w:r>
        <w:rPr>
          <w:rFonts w:hint="eastAsia" w:ascii="宋体" w:hAnsi="宋体" w:cs="Helvetica"/>
          <w:bCs/>
          <w:color w:val="000000"/>
          <w:kern w:val="0"/>
          <w:sz w:val="24"/>
        </w:rPr>
        <w:t>指定专人</w:t>
      </w:r>
      <w:r>
        <w:rPr>
          <w:rFonts w:ascii="宋体" w:hAnsi="宋体" w:cs="Helvetica"/>
          <w:color w:val="000000"/>
          <w:kern w:val="0"/>
          <w:sz w:val="24"/>
        </w:rPr>
        <w:t>根据</w:t>
      </w:r>
      <w:r>
        <w:rPr>
          <w:rFonts w:hint="eastAsia" w:ascii="宋体" w:hAnsi="宋体" w:cs="Helvetica"/>
          <w:color w:val="000000"/>
          <w:kern w:val="0"/>
          <w:sz w:val="24"/>
        </w:rPr>
        <w:t>申</w:t>
      </w:r>
      <w:r>
        <w:rPr>
          <w:rFonts w:ascii="宋体" w:hAnsi="宋体" w:cs="Helvetica"/>
          <w:color w:val="000000"/>
          <w:kern w:val="0"/>
          <w:sz w:val="24"/>
        </w:rPr>
        <w:t>购单和发票进行验收</w:t>
      </w:r>
      <w:r>
        <w:rPr>
          <w:rFonts w:hint="eastAsia" w:ascii="宋体" w:hAnsi="宋体" w:cs="Helvetica"/>
          <w:color w:val="000000"/>
          <w:kern w:val="0"/>
          <w:sz w:val="24"/>
        </w:rPr>
        <w:t>、</w:t>
      </w:r>
      <w:r>
        <w:rPr>
          <w:rFonts w:ascii="宋体" w:hAnsi="宋体" w:cs="Helvetica"/>
          <w:color w:val="000000"/>
          <w:kern w:val="0"/>
          <w:sz w:val="24"/>
        </w:rPr>
        <w:t>入账</w:t>
      </w:r>
      <w:r>
        <w:rPr>
          <w:rFonts w:hint="eastAsia" w:ascii="宋体" w:hAnsi="宋体" w:cs="Helvetica"/>
          <w:color w:val="000000"/>
          <w:kern w:val="0"/>
          <w:sz w:val="24"/>
        </w:rPr>
        <w:t>和入库存放</w:t>
      </w:r>
      <w:r>
        <w:rPr>
          <w:rFonts w:ascii="宋体" w:hAnsi="宋体" w:cs="Helvetica"/>
          <w:color w:val="000000"/>
          <w:kern w:val="0"/>
          <w:sz w:val="24"/>
        </w:rPr>
        <w:t>。</w:t>
      </w:r>
      <w:r>
        <w:rPr>
          <w:rFonts w:hint="eastAsia" w:ascii="宋体" w:hAnsi="宋体" w:cs="Helvetica"/>
          <w:color w:val="000000"/>
          <w:kern w:val="0"/>
          <w:sz w:val="24"/>
        </w:rPr>
        <w:t>库内的危险化学品应当分类项存放，避免因容器破损引发化学反应而导致事故发生。</w:t>
      </w:r>
      <w:r>
        <w:rPr>
          <w:rFonts w:ascii="宋体" w:hAnsi="宋体" w:cs="Helvetica"/>
          <w:color w:val="000000"/>
          <w:kern w:val="0"/>
          <w:sz w:val="24"/>
        </w:rPr>
        <w:t>妥善保存危险化学品的申购单、明细账及出库、入库、库存等凭证。</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第十二条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 xml:space="preserve">涉及使用危险化学品的实验室应建立与其相对应的危险化学品安全周知卡，并依据其安全特性需要，配备相应的应急物品，做好应急防范措施。 </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第十三条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对</w:t>
      </w:r>
      <w:r>
        <w:rPr>
          <w:rFonts w:hint="eastAsia" w:ascii="宋体" w:hAnsi="宋体" w:cs="Helvetica"/>
          <w:color w:val="000000"/>
          <w:kern w:val="0"/>
          <w:sz w:val="24"/>
        </w:rPr>
        <w:t>剧毒化学品、易制毒化学品、爆炸品等</w:t>
      </w:r>
      <w:r>
        <w:rPr>
          <w:rFonts w:hint="eastAsia" w:ascii="宋体" w:hAnsi="宋体" w:cs="Helvetica"/>
          <w:bCs/>
          <w:color w:val="000000"/>
          <w:kern w:val="0"/>
          <w:sz w:val="24"/>
        </w:rPr>
        <w:t>管制类</w:t>
      </w:r>
      <w:r>
        <w:rPr>
          <w:rFonts w:ascii="宋体" w:hAnsi="宋体" w:cs="Helvetica"/>
          <w:bCs/>
          <w:color w:val="000000"/>
          <w:kern w:val="0"/>
          <w:sz w:val="24"/>
        </w:rPr>
        <w:t>危险化学品</w:t>
      </w:r>
      <w:r>
        <w:rPr>
          <w:rFonts w:hint="eastAsia" w:ascii="宋体" w:hAnsi="宋体" w:cs="Helvetica"/>
          <w:bCs/>
          <w:color w:val="000000"/>
          <w:kern w:val="0"/>
          <w:sz w:val="24"/>
        </w:rPr>
        <w:t>必须严格遵守“五双”管理制度，即双人保管、双人双锁、双人收发、双人领取和双人使用，建立管理台账和使用台账，切实加强进出库管理，定期检查库存情况，确保账物相符。</w:t>
      </w:r>
    </w:p>
    <w:p>
      <w:pPr>
        <w:widowControl/>
        <w:spacing w:before="100" w:beforeAutospacing="1" w:after="100" w:afterAutospacing="1" w:line="540" w:lineRule="exact"/>
        <w:ind w:firstLine="643" w:firstLineChars="200"/>
        <w:contextualSpacing/>
        <w:jc w:val="center"/>
        <w:rPr>
          <w:rFonts w:ascii="黑体" w:hAnsi="黑体" w:eastAsia="黑体" w:cs="Helvetica"/>
          <w:b/>
          <w:bCs/>
          <w:color w:val="000000"/>
          <w:kern w:val="0"/>
          <w:sz w:val="32"/>
          <w:szCs w:val="32"/>
        </w:rPr>
      </w:pPr>
      <w:r>
        <w:rPr>
          <w:rFonts w:ascii="黑体" w:hAnsi="黑体" w:eastAsia="黑体" w:cs="Helvetica"/>
          <w:b/>
          <w:bCs/>
          <w:color w:val="000000"/>
          <w:kern w:val="0"/>
          <w:sz w:val="32"/>
          <w:szCs w:val="32"/>
        </w:rPr>
        <w:t>第五章 危险化学品的使用</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第十四条</w:t>
      </w:r>
      <w:r>
        <w:rPr>
          <w:rFonts w:ascii="宋体" w:hAnsi="宋体" w:cs="Helvetica"/>
          <w:color w:val="000000"/>
          <w:kern w:val="0"/>
          <w:sz w:val="24"/>
        </w:rPr>
        <w:t xml:space="preserve"> </w:t>
      </w:r>
      <w:r>
        <w:rPr>
          <w:rFonts w:hint="eastAsia" w:ascii="宋体" w:hAnsi="宋体" w:cs="Helvetica"/>
          <w:color w:val="000000"/>
          <w:kern w:val="0"/>
          <w:sz w:val="24"/>
        </w:rPr>
        <w:t xml:space="preserve"> </w:t>
      </w:r>
      <w:r>
        <w:rPr>
          <w:rFonts w:ascii="宋体" w:hAnsi="宋体" w:cs="Helvetica"/>
          <w:color w:val="000000"/>
          <w:kern w:val="0"/>
          <w:sz w:val="24"/>
        </w:rPr>
        <w:t>使用单位应制定危险化学品使用安全制度，并张贴在醒目位置，严格按照实验要求和操作规程操作。</w:t>
      </w:r>
      <w:r>
        <w:rPr>
          <w:rFonts w:hint="eastAsia" w:ascii="宋体" w:hAnsi="宋体" w:cs="Helvetica"/>
          <w:color w:val="000000"/>
          <w:kern w:val="0"/>
          <w:sz w:val="24"/>
        </w:rPr>
        <w:t>在</w:t>
      </w:r>
      <w:r>
        <w:rPr>
          <w:rFonts w:ascii="宋体" w:hAnsi="宋体" w:cs="Helvetica"/>
          <w:color w:val="000000"/>
          <w:kern w:val="0"/>
          <w:sz w:val="24"/>
        </w:rPr>
        <w:t>使用危险化学品前，教师应向学生讲明注意事项和操作要领。实验时，应随时注意和纠正学生不正确的操作方法。</w:t>
      </w:r>
    </w:p>
    <w:p>
      <w:pPr>
        <w:widowControl/>
        <w:spacing w:before="100" w:beforeAutospacing="1" w:after="100" w:afterAutospacing="1" w:line="540" w:lineRule="exact"/>
        <w:ind w:firstLine="482" w:firstLineChars="200"/>
        <w:contextualSpacing/>
        <w:jc w:val="left"/>
        <w:rPr>
          <w:rFonts w:ascii="宋体" w:hAnsi="宋体" w:cs="Helvetica"/>
          <w:b/>
          <w:bCs/>
          <w:color w:val="000000"/>
          <w:kern w:val="0"/>
          <w:sz w:val="24"/>
        </w:rPr>
      </w:pPr>
      <w:r>
        <w:rPr>
          <w:rFonts w:ascii="宋体" w:hAnsi="宋体" w:cs="Helvetica"/>
          <w:b/>
          <w:bCs/>
          <w:color w:val="000000"/>
          <w:kern w:val="0"/>
          <w:sz w:val="24"/>
        </w:rPr>
        <w:t xml:space="preserve">第十五条 </w:t>
      </w:r>
      <w:r>
        <w:rPr>
          <w:rFonts w:hint="eastAsia" w:ascii="宋体" w:hAnsi="宋体" w:cs="Helvetica"/>
          <w:b/>
          <w:bCs/>
          <w:color w:val="000000"/>
          <w:kern w:val="0"/>
          <w:sz w:val="24"/>
        </w:rPr>
        <w:t xml:space="preserve"> </w:t>
      </w:r>
      <w:r>
        <w:rPr>
          <w:rFonts w:ascii="宋体" w:hAnsi="宋体" w:cs="Helvetica"/>
          <w:color w:val="000000"/>
          <w:kern w:val="0"/>
          <w:sz w:val="24"/>
        </w:rPr>
        <w:t>对剧毒品、易制毒品</w:t>
      </w:r>
      <w:r>
        <w:rPr>
          <w:rFonts w:hint="eastAsia" w:ascii="宋体" w:hAnsi="宋体" w:cs="Helvetica"/>
          <w:color w:val="000000"/>
          <w:kern w:val="0"/>
          <w:sz w:val="24"/>
        </w:rPr>
        <w:t>等管制类危险化学品，应根据具体需求精确计算用量，严格执行双人领用规定。</w:t>
      </w:r>
      <w:r>
        <w:rPr>
          <w:rFonts w:ascii="宋体" w:hAnsi="宋体" w:cs="Helvetica"/>
          <w:color w:val="000000"/>
          <w:kern w:val="0"/>
          <w:sz w:val="24"/>
        </w:rPr>
        <w:t>当天未使用完的剧毒品、易制毒品和麻醉品应及时退库</w:t>
      </w:r>
      <w:r>
        <w:rPr>
          <w:rFonts w:hint="eastAsia" w:ascii="宋体" w:hAnsi="宋体" w:cs="Helvetica"/>
          <w:color w:val="000000"/>
          <w:kern w:val="0"/>
          <w:sz w:val="24"/>
        </w:rPr>
        <w:t>，严禁存放在实验室。</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 xml:space="preserve">第十六条 </w:t>
      </w:r>
      <w:r>
        <w:rPr>
          <w:rFonts w:hint="eastAsia" w:ascii="宋体" w:hAnsi="宋体" w:cs="Helvetica"/>
          <w:color w:val="000000"/>
          <w:kern w:val="0"/>
          <w:sz w:val="24"/>
        </w:rPr>
        <w:t>危险化学品使用实行登记制度，</w:t>
      </w:r>
      <w:r>
        <w:rPr>
          <w:rFonts w:ascii="宋体" w:hAnsi="宋体" w:cs="Helvetica"/>
          <w:color w:val="000000"/>
          <w:kern w:val="0"/>
          <w:sz w:val="24"/>
        </w:rPr>
        <w:t>剧毒品、易制毒品</w:t>
      </w:r>
      <w:r>
        <w:rPr>
          <w:rFonts w:hint="eastAsia" w:ascii="宋体" w:hAnsi="宋体" w:cs="Helvetica"/>
          <w:color w:val="000000"/>
          <w:kern w:val="0"/>
          <w:sz w:val="24"/>
        </w:rPr>
        <w:t>等管制类危险化学品</w:t>
      </w:r>
      <w:r>
        <w:rPr>
          <w:rFonts w:ascii="宋体" w:hAnsi="宋体" w:cs="Helvetica"/>
          <w:color w:val="000000"/>
          <w:kern w:val="0"/>
          <w:sz w:val="24"/>
        </w:rPr>
        <w:t>的</w:t>
      </w:r>
      <w:r>
        <w:rPr>
          <w:rFonts w:hint="eastAsia" w:ascii="宋体" w:hAnsi="宋体" w:cs="Helvetica"/>
          <w:color w:val="000000"/>
          <w:kern w:val="0"/>
          <w:sz w:val="24"/>
        </w:rPr>
        <w:t>使用</w:t>
      </w:r>
      <w:r>
        <w:rPr>
          <w:rFonts w:ascii="宋体" w:hAnsi="宋体" w:cs="Helvetica"/>
          <w:color w:val="000000"/>
          <w:kern w:val="0"/>
          <w:sz w:val="24"/>
        </w:rPr>
        <w:t>必须称量实重，使用情况</w:t>
      </w:r>
      <w:r>
        <w:rPr>
          <w:rFonts w:hint="eastAsia" w:ascii="宋体" w:hAnsi="宋体" w:cs="Helvetica"/>
          <w:color w:val="000000"/>
          <w:kern w:val="0"/>
          <w:sz w:val="24"/>
        </w:rPr>
        <w:t>双人</w:t>
      </w:r>
      <w:r>
        <w:rPr>
          <w:rFonts w:ascii="宋体" w:hAnsi="宋体" w:cs="Helvetica"/>
          <w:color w:val="000000"/>
          <w:kern w:val="0"/>
          <w:sz w:val="24"/>
        </w:rPr>
        <w:t>签字，并认真填写台账，对其用、剩、废、耗的数量</w:t>
      </w:r>
      <w:r>
        <w:rPr>
          <w:rFonts w:hint="eastAsia" w:ascii="宋体" w:hAnsi="宋体" w:cs="Helvetica"/>
          <w:color w:val="000000"/>
          <w:kern w:val="0"/>
          <w:sz w:val="24"/>
        </w:rPr>
        <w:t>及去向有</w:t>
      </w:r>
      <w:r>
        <w:rPr>
          <w:rFonts w:ascii="宋体" w:hAnsi="宋体" w:cs="Helvetica"/>
          <w:color w:val="000000"/>
          <w:kern w:val="0"/>
          <w:sz w:val="24"/>
        </w:rPr>
        <w:t>详细记录。</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第十七条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 xml:space="preserve"> 所有</w:t>
      </w:r>
      <w:r>
        <w:rPr>
          <w:rFonts w:ascii="宋体" w:hAnsi="宋体" w:cs="Helvetica"/>
          <w:color w:val="000000"/>
          <w:kern w:val="0"/>
          <w:sz w:val="24"/>
        </w:rPr>
        <w:t>气</w:t>
      </w:r>
      <w:r>
        <w:rPr>
          <w:rFonts w:hint="eastAsia" w:ascii="宋体" w:hAnsi="宋体" w:cs="Helvetica"/>
          <w:color w:val="000000"/>
          <w:kern w:val="0"/>
          <w:sz w:val="24"/>
        </w:rPr>
        <w:t>钢</w:t>
      </w:r>
      <w:r>
        <w:rPr>
          <w:rFonts w:ascii="宋体" w:hAnsi="宋体" w:cs="Helvetica"/>
          <w:color w:val="000000"/>
          <w:kern w:val="0"/>
          <w:sz w:val="24"/>
        </w:rPr>
        <w:t>瓶</w:t>
      </w:r>
      <w:r>
        <w:rPr>
          <w:rFonts w:hint="eastAsia" w:ascii="宋体" w:hAnsi="宋体" w:cs="Helvetica"/>
          <w:color w:val="000000"/>
          <w:kern w:val="0"/>
          <w:sz w:val="24"/>
        </w:rPr>
        <w:t>应固定存放在安全位置，易燃易爆气体与</w:t>
      </w:r>
      <w:r>
        <w:rPr>
          <w:rFonts w:ascii="宋体" w:hAnsi="宋体" w:cs="Helvetica"/>
          <w:color w:val="000000"/>
          <w:kern w:val="0"/>
          <w:sz w:val="24"/>
        </w:rPr>
        <w:t>可燃助燃</w:t>
      </w:r>
      <w:r>
        <w:rPr>
          <w:rFonts w:hint="eastAsia" w:ascii="宋体" w:hAnsi="宋体" w:cs="Helvetica"/>
          <w:color w:val="000000"/>
          <w:kern w:val="0"/>
          <w:sz w:val="24"/>
        </w:rPr>
        <w:t>气体必须分开存放。</w:t>
      </w:r>
      <w:r>
        <w:rPr>
          <w:rFonts w:ascii="宋体" w:hAnsi="宋体" w:cs="Helvetica"/>
          <w:color w:val="000000"/>
          <w:kern w:val="0"/>
          <w:sz w:val="24"/>
        </w:rPr>
        <w:t>使用可燃助燃气</w:t>
      </w:r>
      <w:r>
        <w:rPr>
          <w:rFonts w:hint="eastAsia" w:ascii="宋体" w:hAnsi="宋体" w:cs="Helvetica"/>
          <w:color w:val="000000"/>
          <w:kern w:val="0"/>
          <w:sz w:val="24"/>
        </w:rPr>
        <w:t>钢</w:t>
      </w:r>
      <w:r>
        <w:rPr>
          <w:rFonts w:ascii="宋体" w:hAnsi="宋体" w:cs="Helvetica"/>
          <w:color w:val="000000"/>
          <w:kern w:val="0"/>
          <w:sz w:val="24"/>
        </w:rPr>
        <w:t>瓶</w:t>
      </w:r>
      <w:r>
        <w:rPr>
          <w:rFonts w:hint="eastAsia" w:ascii="宋体" w:hAnsi="宋体" w:cs="Helvetica"/>
          <w:color w:val="000000"/>
          <w:kern w:val="0"/>
          <w:sz w:val="24"/>
        </w:rPr>
        <w:t>等危险化学品</w:t>
      </w:r>
      <w:r>
        <w:rPr>
          <w:rFonts w:ascii="宋体" w:hAnsi="宋体" w:cs="Helvetica"/>
          <w:color w:val="000000"/>
          <w:kern w:val="0"/>
          <w:sz w:val="24"/>
        </w:rPr>
        <w:t>时</w:t>
      </w:r>
      <w:r>
        <w:rPr>
          <w:rFonts w:hint="eastAsia" w:ascii="宋体" w:hAnsi="宋体" w:cs="Helvetica"/>
          <w:color w:val="000000"/>
          <w:kern w:val="0"/>
          <w:sz w:val="24"/>
        </w:rPr>
        <w:t>，应</w:t>
      </w:r>
      <w:r>
        <w:rPr>
          <w:rFonts w:ascii="宋体" w:hAnsi="宋体" w:cs="Helvetica"/>
          <w:color w:val="000000"/>
          <w:kern w:val="0"/>
          <w:sz w:val="24"/>
        </w:rPr>
        <w:t>与明火</w:t>
      </w:r>
      <w:r>
        <w:rPr>
          <w:rFonts w:hint="eastAsia" w:ascii="宋体" w:hAnsi="宋体" w:cs="Helvetica"/>
          <w:color w:val="000000"/>
          <w:kern w:val="0"/>
          <w:sz w:val="24"/>
        </w:rPr>
        <w:t>保持不少于</w:t>
      </w:r>
      <w:r>
        <w:rPr>
          <w:rFonts w:ascii="宋体" w:hAnsi="宋体" w:cs="Helvetica"/>
          <w:color w:val="000000"/>
          <w:kern w:val="0"/>
          <w:sz w:val="24"/>
        </w:rPr>
        <w:t>5米</w:t>
      </w:r>
      <w:r>
        <w:rPr>
          <w:rFonts w:hint="eastAsia" w:ascii="宋体" w:hAnsi="宋体" w:cs="Helvetica"/>
          <w:color w:val="000000"/>
          <w:kern w:val="0"/>
          <w:sz w:val="24"/>
        </w:rPr>
        <w:t>的</w:t>
      </w:r>
      <w:r>
        <w:rPr>
          <w:rFonts w:ascii="宋体" w:hAnsi="宋体" w:cs="Helvetica"/>
          <w:color w:val="000000"/>
          <w:kern w:val="0"/>
          <w:sz w:val="24"/>
        </w:rPr>
        <w:t>距离</w:t>
      </w:r>
      <w:r>
        <w:rPr>
          <w:rFonts w:hint="eastAsia" w:ascii="宋体" w:hAnsi="宋体" w:cs="Helvetica"/>
          <w:color w:val="000000"/>
          <w:kern w:val="0"/>
          <w:sz w:val="24"/>
        </w:rPr>
        <w:t>，</w:t>
      </w:r>
      <w:r>
        <w:rPr>
          <w:rFonts w:ascii="宋体" w:hAnsi="宋体" w:cs="Helvetica"/>
          <w:color w:val="000000"/>
          <w:kern w:val="0"/>
          <w:sz w:val="24"/>
        </w:rPr>
        <w:t>确难达到时应采取隔离措施。</w:t>
      </w:r>
    </w:p>
    <w:p>
      <w:pPr>
        <w:widowControl/>
        <w:spacing w:before="100" w:beforeAutospacing="1" w:after="100" w:afterAutospacing="1" w:line="540" w:lineRule="exact"/>
        <w:ind w:firstLine="643" w:firstLineChars="200"/>
        <w:contextualSpacing/>
        <w:jc w:val="center"/>
        <w:rPr>
          <w:rFonts w:ascii="黑体" w:hAnsi="黑体" w:eastAsia="黑体" w:cs="Helvetica"/>
          <w:b/>
          <w:bCs/>
          <w:color w:val="000000"/>
          <w:kern w:val="0"/>
          <w:sz w:val="32"/>
          <w:szCs w:val="32"/>
        </w:rPr>
      </w:pPr>
      <w:r>
        <w:rPr>
          <w:rFonts w:hint="eastAsia" w:ascii="黑体" w:hAnsi="黑体" w:eastAsia="黑体" w:cs="Helvetica"/>
          <w:b/>
          <w:bCs/>
          <w:color w:val="000000"/>
          <w:kern w:val="0"/>
          <w:sz w:val="32"/>
          <w:szCs w:val="32"/>
        </w:rPr>
        <w:t>第六章  危险化学品废弃物的处置</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 xml:space="preserve">第十八条 </w:t>
      </w:r>
      <w:r>
        <w:rPr>
          <w:rFonts w:hint="eastAsia" w:ascii="宋体" w:hAnsi="宋体" w:cs="Helvetica"/>
          <w:b/>
          <w:bCs/>
          <w:color w:val="000000"/>
          <w:kern w:val="0"/>
          <w:sz w:val="24"/>
        </w:rPr>
        <w:t xml:space="preserve"> </w:t>
      </w:r>
      <w:r>
        <w:rPr>
          <w:rFonts w:ascii="宋体" w:hAnsi="宋体" w:cs="Helvetica"/>
          <w:bCs/>
          <w:color w:val="000000"/>
          <w:kern w:val="0"/>
          <w:sz w:val="24"/>
        </w:rPr>
        <w:t>危险化学品</w:t>
      </w:r>
      <w:r>
        <w:rPr>
          <w:rFonts w:hint="eastAsia" w:ascii="宋体" w:hAnsi="宋体" w:cs="Helvetica"/>
          <w:bCs/>
          <w:color w:val="000000"/>
          <w:kern w:val="0"/>
          <w:sz w:val="24"/>
        </w:rPr>
        <w:t>废弃物及其使用后的包装箱、纸袋、瓶桶等，应</w:t>
      </w:r>
      <w:r>
        <w:rPr>
          <w:rFonts w:ascii="宋体" w:hAnsi="宋体" w:cs="Helvetica"/>
          <w:bCs/>
          <w:color w:val="000000"/>
          <w:kern w:val="0"/>
          <w:sz w:val="24"/>
        </w:rPr>
        <w:t>对</w:t>
      </w:r>
      <w:r>
        <w:rPr>
          <w:rFonts w:hint="eastAsia" w:ascii="宋体" w:hAnsi="宋体" w:cs="Helvetica"/>
          <w:bCs/>
          <w:color w:val="000000"/>
          <w:kern w:val="0"/>
          <w:sz w:val="24"/>
        </w:rPr>
        <w:t>其进行分级</w:t>
      </w:r>
      <w:r>
        <w:rPr>
          <w:rFonts w:ascii="宋体" w:hAnsi="宋体" w:cs="Helvetica"/>
          <w:bCs/>
          <w:color w:val="000000"/>
          <w:kern w:val="0"/>
          <w:sz w:val="24"/>
        </w:rPr>
        <w:t>分类</w:t>
      </w:r>
      <w:r>
        <w:rPr>
          <w:rFonts w:hint="eastAsia" w:ascii="宋体" w:hAnsi="宋体" w:cs="Helvetica"/>
          <w:bCs/>
          <w:color w:val="000000"/>
          <w:kern w:val="0"/>
          <w:sz w:val="24"/>
        </w:rPr>
        <w:t>收集</w:t>
      </w:r>
      <w:r>
        <w:rPr>
          <w:rFonts w:ascii="宋体" w:hAnsi="宋体" w:cs="Helvetica"/>
          <w:bCs/>
          <w:color w:val="000000"/>
          <w:kern w:val="0"/>
          <w:sz w:val="24"/>
        </w:rPr>
        <w:t>，</w:t>
      </w:r>
      <w:r>
        <w:rPr>
          <w:rFonts w:hint="eastAsia" w:ascii="宋体" w:hAnsi="宋体" w:cs="Helvetica"/>
          <w:bCs/>
          <w:color w:val="000000"/>
          <w:kern w:val="0"/>
          <w:sz w:val="24"/>
        </w:rPr>
        <w:t>及时</w:t>
      </w:r>
      <w:r>
        <w:rPr>
          <w:rFonts w:hint="eastAsia" w:ascii="宋体" w:hAnsi="宋体" w:cs="Helvetica"/>
          <w:color w:val="000000"/>
          <w:kern w:val="0"/>
          <w:sz w:val="24"/>
        </w:rPr>
        <w:t>移交至危化品废弃物暂存柜</w:t>
      </w:r>
      <w:r>
        <w:rPr>
          <w:rFonts w:hint="eastAsia" w:ascii="宋体" w:hAnsi="宋体" w:cs="Helvetica"/>
          <w:bCs/>
          <w:color w:val="000000"/>
          <w:kern w:val="0"/>
          <w:sz w:val="24"/>
        </w:rPr>
        <w:t>。任何单位和个人不得擅自销毁或</w:t>
      </w:r>
      <w:r>
        <w:rPr>
          <w:rFonts w:ascii="宋体" w:hAnsi="宋体" w:cs="Helvetica"/>
          <w:bCs/>
          <w:color w:val="000000"/>
          <w:kern w:val="0"/>
          <w:sz w:val="24"/>
        </w:rPr>
        <w:t>随意倾倒</w:t>
      </w:r>
      <w:r>
        <w:rPr>
          <w:rFonts w:hint="eastAsia" w:ascii="宋体" w:hAnsi="宋体" w:cs="Helvetica"/>
          <w:bCs/>
          <w:color w:val="000000"/>
          <w:kern w:val="0"/>
          <w:sz w:val="24"/>
        </w:rPr>
        <w:t>、</w:t>
      </w:r>
      <w:r>
        <w:rPr>
          <w:rFonts w:ascii="宋体" w:hAnsi="宋体" w:cs="Helvetica"/>
          <w:bCs/>
          <w:color w:val="000000"/>
          <w:kern w:val="0"/>
          <w:sz w:val="24"/>
        </w:rPr>
        <w:t>堆放在实验室以外的任何场地。</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第十九条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危险化学品废弃物</w:t>
      </w:r>
      <w:r>
        <w:rPr>
          <w:rFonts w:hint="eastAsia" w:ascii="宋体" w:hAnsi="宋体" w:cs="Helvetica"/>
          <w:color w:val="000000"/>
          <w:kern w:val="0"/>
          <w:sz w:val="24"/>
        </w:rPr>
        <w:t>应严格按照国家和《衢州学院实验室废弃物处置管理暂行办法》（衢院设〔2019〕2号）相关规定进行</w:t>
      </w:r>
      <w:r>
        <w:rPr>
          <w:rFonts w:ascii="宋体" w:hAnsi="宋体" w:cs="Helvetica"/>
          <w:color w:val="000000"/>
          <w:kern w:val="0"/>
          <w:sz w:val="24"/>
        </w:rPr>
        <w:t>处置。</w:t>
      </w:r>
    </w:p>
    <w:p>
      <w:pPr>
        <w:widowControl/>
        <w:spacing w:before="100" w:beforeAutospacing="1" w:after="100" w:afterAutospacing="1" w:line="540" w:lineRule="exact"/>
        <w:ind w:firstLine="643" w:firstLineChars="200"/>
        <w:contextualSpacing/>
        <w:jc w:val="center"/>
        <w:rPr>
          <w:rFonts w:ascii="宋体" w:hAnsi="宋体" w:cs="Helvetica"/>
          <w:b/>
          <w:bCs/>
          <w:color w:val="000000"/>
          <w:kern w:val="0"/>
          <w:sz w:val="24"/>
        </w:rPr>
      </w:pPr>
      <w:r>
        <w:rPr>
          <w:rFonts w:ascii="黑体" w:hAnsi="黑体" w:eastAsia="黑体" w:cs="Helvetica"/>
          <w:b/>
          <w:bCs/>
          <w:color w:val="000000"/>
          <w:kern w:val="0"/>
          <w:sz w:val="32"/>
          <w:szCs w:val="32"/>
        </w:rPr>
        <w:t>第</w:t>
      </w:r>
      <w:r>
        <w:rPr>
          <w:rFonts w:hint="eastAsia" w:ascii="黑体" w:hAnsi="黑体" w:eastAsia="黑体" w:cs="Helvetica"/>
          <w:b/>
          <w:bCs/>
          <w:color w:val="000000"/>
          <w:kern w:val="0"/>
          <w:sz w:val="32"/>
          <w:szCs w:val="32"/>
        </w:rPr>
        <w:t>七</w:t>
      </w:r>
      <w:r>
        <w:rPr>
          <w:rFonts w:ascii="黑体" w:hAnsi="黑体" w:eastAsia="黑体" w:cs="Helvetica"/>
          <w:b/>
          <w:bCs/>
          <w:color w:val="000000"/>
          <w:kern w:val="0"/>
          <w:sz w:val="32"/>
          <w:szCs w:val="32"/>
        </w:rPr>
        <w:t>章</w:t>
      </w:r>
      <w:r>
        <w:rPr>
          <w:rFonts w:hint="eastAsia" w:ascii="黑体" w:hAnsi="黑体" w:eastAsia="黑体" w:cs="Helvetica"/>
          <w:b/>
          <w:bCs/>
          <w:color w:val="000000"/>
          <w:kern w:val="0"/>
          <w:sz w:val="32"/>
          <w:szCs w:val="32"/>
        </w:rPr>
        <w:t xml:space="preserve">  危险化学品应急事故的处理</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第二十条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使用单位应严格危险化学品管理，定期或不定期组织等其管理的各个环节进行检查，查找安全隐患，防范事故发生。</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第二十</w:t>
      </w:r>
      <w:r>
        <w:rPr>
          <w:rFonts w:hint="eastAsia" w:ascii="宋体" w:hAnsi="宋体" w:cs="Helvetica"/>
          <w:b/>
          <w:bCs/>
          <w:color w:val="000000"/>
          <w:kern w:val="0"/>
          <w:sz w:val="24"/>
        </w:rPr>
        <w:t>一</w:t>
      </w:r>
      <w:r>
        <w:rPr>
          <w:rFonts w:ascii="宋体" w:hAnsi="宋体" w:cs="Helvetica"/>
          <w:b/>
          <w:bCs/>
          <w:color w:val="000000"/>
          <w:kern w:val="0"/>
          <w:sz w:val="24"/>
        </w:rPr>
        <w:t>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使用单位应制定本单位事故应急预案，</w:t>
      </w:r>
      <w:r>
        <w:rPr>
          <w:rFonts w:hint="eastAsia" w:ascii="宋体" w:hAnsi="宋体" w:cs="Helvetica"/>
          <w:color w:val="000000"/>
          <w:kern w:val="0"/>
          <w:sz w:val="24"/>
        </w:rPr>
        <w:t>配备必要的应急救援物资，并定期组织演练。</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第二十</w:t>
      </w:r>
      <w:r>
        <w:rPr>
          <w:rFonts w:hint="eastAsia" w:ascii="宋体" w:hAnsi="宋体" w:cs="Helvetica"/>
          <w:b/>
          <w:bCs/>
          <w:color w:val="000000"/>
          <w:kern w:val="0"/>
          <w:sz w:val="24"/>
        </w:rPr>
        <w:t>二</w:t>
      </w:r>
      <w:r>
        <w:rPr>
          <w:rFonts w:ascii="宋体" w:hAnsi="宋体" w:cs="Helvetica"/>
          <w:b/>
          <w:bCs/>
          <w:color w:val="000000"/>
          <w:kern w:val="0"/>
          <w:sz w:val="24"/>
        </w:rPr>
        <w:t>条</w:t>
      </w:r>
      <w:r>
        <w:rPr>
          <w:rFonts w:hint="eastAsia" w:ascii="宋体" w:hAnsi="宋体" w:cs="Helvetica"/>
          <w:b/>
          <w:bCs/>
          <w:color w:val="000000"/>
          <w:kern w:val="0"/>
          <w:sz w:val="24"/>
        </w:rPr>
        <w:t xml:space="preserve">  </w:t>
      </w:r>
      <w:r>
        <w:rPr>
          <w:rFonts w:hint="eastAsia" w:ascii="宋体" w:hAnsi="宋体" w:cs="Helvetica"/>
          <w:color w:val="000000"/>
          <w:kern w:val="0"/>
          <w:sz w:val="24"/>
        </w:rPr>
        <w:t>发生危险化学品丢失、被盗、泄漏、引发火灾或人员中毒、伤亡等安全事故时，事故单位应立即启动应急预案，采取有效救援、控制措施，保护好现场，并及时上报学校主管部门。</w:t>
      </w:r>
    </w:p>
    <w:p>
      <w:pPr>
        <w:widowControl/>
        <w:spacing w:before="100" w:beforeAutospacing="1" w:after="100" w:afterAutospacing="1" w:line="540" w:lineRule="exact"/>
        <w:ind w:firstLine="643" w:firstLineChars="200"/>
        <w:contextualSpacing/>
        <w:jc w:val="center"/>
        <w:rPr>
          <w:rFonts w:ascii="黑体" w:hAnsi="黑体" w:eastAsia="黑体" w:cs="Helvetica"/>
          <w:b/>
          <w:bCs/>
          <w:color w:val="000000"/>
          <w:kern w:val="0"/>
          <w:sz w:val="32"/>
          <w:szCs w:val="32"/>
        </w:rPr>
      </w:pPr>
      <w:r>
        <w:rPr>
          <w:rFonts w:ascii="黑体" w:hAnsi="黑体" w:eastAsia="黑体" w:cs="Helvetica"/>
          <w:b/>
          <w:bCs/>
          <w:color w:val="000000"/>
          <w:kern w:val="0"/>
          <w:sz w:val="32"/>
          <w:szCs w:val="32"/>
        </w:rPr>
        <w:t>第</w:t>
      </w:r>
      <w:r>
        <w:rPr>
          <w:rFonts w:hint="eastAsia" w:ascii="黑体" w:hAnsi="黑体" w:eastAsia="黑体" w:cs="Helvetica"/>
          <w:b/>
          <w:bCs/>
          <w:color w:val="000000"/>
          <w:kern w:val="0"/>
          <w:sz w:val="32"/>
          <w:szCs w:val="32"/>
        </w:rPr>
        <w:t>八</w:t>
      </w:r>
      <w:r>
        <w:rPr>
          <w:rFonts w:ascii="黑体" w:hAnsi="黑体" w:eastAsia="黑体" w:cs="Helvetica"/>
          <w:b/>
          <w:bCs/>
          <w:color w:val="000000"/>
          <w:kern w:val="0"/>
          <w:sz w:val="32"/>
          <w:szCs w:val="32"/>
        </w:rPr>
        <w:t>章</w:t>
      </w:r>
      <w:r>
        <w:rPr>
          <w:rFonts w:hint="eastAsia" w:ascii="黑体" w:hAnsi="黑体" w:eastAsia="黑体" w:cs="Helvetica"/>
          <w:b/>
          <w:bCs/>
          <w:color w:val="000000"/>
          <w:kern w:val="0"/>
          <w:sz w:val="32"/>
          <w:szCs w:val="32"/>
        </w:rPr>
        <w:t xml:space="preserve">  </w:t>
      </w:r>
      <w:r>
        <w:rPr>
          <w:rFonts w:ascii="黑体" w:hAnsi="黑体" w:eastAsia="黑体" w:cs="Helvetica"/>
          <w:b/>
          <w:bCs/>
          <w:color w:val="000000"/>
          <w:kern w:val="0"/>
          <w:sz w:val="32"/>
          <w:szCs w:val="32"/>
        </w:rPr>
        <w:t xml:space="preserve">附 </w:t>
      </w:r>
      <w:r>
        <w:rPr>
          <w:rFonts w:hint="eastAsia" w:ascii="黑体" w:hAnsi="黑体" w:eastAsia="黑体" w:cs="Helvetica"/>
          <w:b/>
          <w:bCs/>
          <w:color w:val="000000"/>
          <w:kern w:val="0"/>
          <w:sz w:val="32"/>
          <w:szCs w:val="32"/>
        </w:rPr>
        <w:t xml:space="preserve"> </w:t>
      </w:r>
      <w:r>
        <w:rPr>
          <w:rFonts w:ascii="黑体" w:hAnsi="黑体" w:eastAsia="黑体" w:cs="Helvetica"/>
          <w:b/>
          <w:bCs/>
          <w:color w:val="000000"/>
          <w:kern w:val="0"/>
          <w:sz w:val="32"/>
          <w:szCs w:val="32"/>
        </w:rPr>
        <w:t>则</w:t>
      </w:r>
    </w:p>
    <w:p>
      <w:pPr>
        <w:widowControl/>
        <w:spacing w:before="100" w:beforeAutospacing="1" w:after="100" w:afterAutospacing="1" w:line="540" w:lineRule="exact"/>
        <w:ind w:firstLine="482" w:firstLineChars="200"/>
        <w:contextualSpacing/>
        <w:jc w:val="left"/>
        <w:rPr>
          <w:rFonts w:ascii="宋体" w:hAnsi="宋体" w:cs="Helvetica"/>
          <w:color w:val="000000"/>
          <w:kern w:val="0"/>
          <w:sz w:val="24"/>
        </w:rPr>
      </w:pPr>
      <w:r>
        <w:rPr>
          <w:rFonts w:ascii="宋体" w:hAnsi="宋体" w:cs="Helvetica"/>
          <w:b/>
          <w:bCs/>
          <w:color w:val="000000"/>
          <w:kern w:val="0"/>
          <w:sz w:val="24"/>
        </w:rPr>
        <w:t>第</w:t>
      </w:r>
      <w:r>
        <w:rPr>
          <w:rFonts w:hint="eastAsia" w:ascii="宋体" w:hAnsi="宋体" w:cs="Helvetica"/>
          <w:b/>
          <w:bCs/>
          <w:color w:val="000000"/>
          <w:kern w:val="0"/>
          <w:sz w:val="24"/>
        </w:rPr>
        <w:t>二十二</w:t>
      </w:r>
      <w:r>
        <w:rPr>
          <w:rFonts w:ascii="宋体" w:hAnsi="宋体" w:cs="Helvetica"/>
          <w:b/>
          <w:bCs/>
          <w:color w:val="000000"/>
          <w:kern w:val="0"/>
          <w:sz w:val="24"/>
        </w:rPr>
        <w:t xml:space="preserve">条 </w:t>
      </w:r>
      <w:r>
        <w:rPr>
          <w:rFonts w:hint="eastAsia" w:ascii="宋体" w:hAnsi="宋体" w:cs="Helvetica"/>
          <w:b/>
          <w:bCs/>
          <w:color w:val="000000"/>
          <w:kern w:val="0"/>
          <w:sz w:val="24"/>
        </w:rPr>
        <w:t xml:space="preserve"> </w:t>
      </w:r>
      <w:r>
        <w:rPr>
          <w:rFonts w:ascii="宋体" w:hAnsi="宋体" w:cs="Helvetica"/>
          <w:color w:val="000000"/>
          <w:kern w:val="0"/>
          <w:sz w:val="24"/>
        </w:rPr>
        <w:t>对违反本办法</w:t>
      </w:r>
      <w:r>
        <w:rPr>
          <w:rFonts w:hint="eastAsia" w:ascii="宋体" w:hAnsi="宋体" w:cs="Helvetica"/>
          <w:color w:val="000000"/>
          <w:kern w:val="0"/>
          <w:sz w:val="24"/>
        </w:rPr>
        <w:t>规定而引发实验室安全事件的</w:t>
      </w:r>
      <w:r>
        <w:rPr>
          <w:rFonts w:ascii="宋体" w:hAnsi="宋体" w:cs="Helvetica"/>
          <w:color w:val="000000"/>
          <w:kern w:val="0"/>
          <w:sz w:val="24"/>
        </w:rPr>
        <w:t>，</w:t>
      </w:r>
      <w:r>
        <w:rPr>
          <w:rFonts w:hint="eastAsia" w:ascii="宋体" w:hAnsi="宋体" w:cs="Helvetica"/>
          <w:color w:val="000000"/>
          <w:kern w:val="0"/>
          <w:sz w:val="24"/>
        </w:rPr>
        <w:t>学校</w:t>
      </w:r>
      <w:r>
        <w:rPr>
          <w:rFonts w:ascii="宋体" w:hAnsi="宋体" w:cs="Helvetica"/>
          <w:color w:val="000000"/>
          <w:kern w:val="0"/>
          <w:sz w:val="24"/>
        </w:rPr>
        <w:t>将</w:t>
      </w:r>
      <w:r>
        <w:rPr>
          <w:rFonts w:hint="eastAsia" w:ascii="宋体" w:hAnsi="宋体" w:cs="Helvetica"/>
          <w:color w:val="000000"/>
          <w:kern w:val="0"/>
          <w:sz w:val="24"/>
        </w:rPr>
        <w:t>依据《衢州学院实验室安全责任追究暂行办法》（衢院〔2019〕30号）规定进行责任追究</w:t>
      </w:r>
      <w:r>
        <w:rPr>
          <w:rFonts w:ascii="宋体" w:hAnsi="宋体" w:cs="Helvetica"/>
          <w:color w:val="000000"/>
          <w:kern w:val="0"/>
          <w:sz w:val="24"/>
        </w:rPr>
        <w:t>。</w:t>
      </w:r>
      <w:r>
        <w:rPr>
          <w:rFonts w:hint="eastAsia" w:ascii="宋体" w:hAnsi="宋体" w:cs="Helvetica"/>
          <w:color w:val="000000"/>
          <w:kern w:val="0"/>
          <w:sz w:val="24"/>
        </w:rPr>
        <w:t>涉嫌构成犯罪的移送司法机关依法追究刑事责任。</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第</w:t>
      </w:r>
      <w:r>
        <w:rPr>
          <w:rFonts w:hint="eastAsia" w:ascii="宋体" w:hAnsi="宋体" w:cs="Helvetica"/>
          <w:b/>
          <w:bCs/>
          <w:color w:val="000000"/>
          <w:kern w:val="0"/>
          <w:sz w:val="24"/>
        </w:rPr>
        <w:t>二十三</w:t>
      </w:r>
      <w:r>
        <w:rPr>
          <w:rFonts w:ascii="宋体" w:hAnsi="宋体" w:cs="Helvetica"/>
          <w:b/>
          <w:bCs/>
          <w:color w:val="000000"/>
          <w:kern w:val="0"/>
          <w:sz w:val="24"/>
        </w:rPr>
        <w:t>条</w:t>
      </w:r>
      <w:r>
        <w:rPr>
          <w:rFonts w:hint="eastAsia" w:ascii="宋体" w:hAnsi="宋体" w:cs="Helvetica"/>
          <w:bCs/>
          <w:color w:val="000000"/>
          <w:kern w:val="0"/>
          <w:sz w:val="24"/>
        </w:rPr>
        <w:t xml:space="preserve">  本办法自发布之日起施行。原</w:t>
      </w:r>
      <w:r>
        <w:rPr>
          <w:rFonts w:ascii="宋体" w:hAnsi="宋体" w:cs="Helvetica"/>
          <w:color w:val="000000"/>
          <w:kern w:val="0"/>
          <w:sz w:val="24"/>
        </w:rPr>
        <w:t>《</w:t>
      </w:r>
      <w:r>
        <w:rPr>
          <w:rFonts w:hint="eastAsia" w:ascii="宋体" w:hAnsi="宋体" w:cs="Helvetica"/>
          <w:color w:val="000000"/>
          <w:kern w:val="0"/>
          <w:sz w:val="24"/>
        </w:rPr>
        <w:t>衢州学院化学危险品</w:t>
      </w:r>
      <w:r>
        <w:rPr>
          <w:rFonts w:ascii="宋体" w:hAnsi="宋体" w:cs="Helvetica"/>
          <w:color w:val="000000"/>
          <w:kern w:val="0"/>
          <w:sz w:val="24"/>
        </w:rPr>
        <w:t>安全管理办法》</w:t>
      </w:r>
      <w:r>
        <w:rPr>
          <w:rFonts w:hint="eastAsia" w:ascii="宋体" w:hAnsi="宋体" w:cs="Helvetica"/>
          <w:color w:val="000000"/>
          <w:kern w:val="0"/>
          <w:sz w:val="24"/>
        </w:rPr>
        <w:t>（衢院设〔2012〕6号）同时废止。</w:t>
      </w:r>
    </w:p>
    <w:p>
      <w:pPr>
        <w:widowControl/>
        <w:spacing w:before="100" w:beforeAutospacing="1" w:after="100" w:afterAutospacing="1" w:line="540" w:lineRule="exact"/>
        <w:ind w:firstLine="482" w:firstLineChars="200"/>
        <w:contextualSpacing/>
        <w:jc w:val="left"/>
        <w:rPr>
          <w:rFonts w:ascii="宋体" w:hAnsi="宋体" w:cs="Helvetica"/>
          <w:bCs/>
          <w:color w:val="000000"/>
          <w:kern w:val="0"/>
          <w:sz w:val="24"/>
        </w:rPr>
      </w:pPr>
      <w:r>
        <w:rPr>
          <w:rFonts w:ascii="宋体" w:hAnsi="宋体" w:cs="Helvetica"/>
          <w:b/>
          <w:bCs/>
          <w:color w:val="000000"/>
          <w:kern w:val="0"/>
          <w:sz w:val="24"/>
        </w:rPr>
        <w:t>第</w:t>
      </w:r>
      <w:r>
        <w:rPr>
          <w:rFonts w:hint="eastAsia" w:ascii="宋体" w:hAnsi="宋体" w:cs="Helvetica"/>
          <w:b/>
          <w:bCs/>
          <w:color w:val="000000"/>
          <w:kern w:val="0"/>
          <w:sz w:val="24"/>
        </w:rPr>
        <w:t>二十四</w:t>
      </w:r>
      <w:r>
        <w:rPr>
          <w:rFonts w:ascii="宋体" w:hAnsi="宋体" w:cs="Helvetica"/>
          <w:b/>
          <w:bCs/>
          <w:color w:val="000000"/>
          <w:kern w:val="0"/>
          <w:sz w:val="24"/>
        </w:rPr>
        <w:t>条</w:t>
      </w:r>
      <w:r>
        <w:rPr>
          <w:rFonts w:hint="eastAsia" w:ascii="宋体" w:hAnsi="宋体" w:cs="Helvetica"/>
          <w:b/>
          <w:bCs/>
          <w:color w:val="000000"/>
          <w:kern w:val="0"/>
          <w:sz w:val="24"/>
        </w:rPr>
        <w:t xml:space="preserve">  </w:t>
      </w:r>
      <w:r>
        <w:rPr>
          <w:rFonts w:hint="eastAsia" w:ascii="宋体" w:hAnsi="宋体" w:cs="Helvetica"/>
          <w:bCs/>
          <w:color w:val="000000"/>
          <w:kern w:val="0"/>
          <w:sz w:val="24"/>
        </w:rPr>
        <w:t>本办法由实验室与资产管理处负责解释并监督实施。</w:t>
      </w:r>
    </w:p>
    <w:p>
      <w:pPr>
        <w:contextualSpacing/>
      </w:pPr>
    </w:p>
    <w:p>
      <w:pPr>
        <w:jc w:val="center"/>
        <w:rPr>
          <w:b/>
          <w:sz w:val="36"/>
          <w:szCs w:val="36"/>
        </w:rPr>
      </w:pPr>
    </w:p>
    <w:p>
      <w:pPr>
        <w:widowControl/>
        <w:spacing w:before="100" w:beforeAutospacing="1" w:after="100" w:afterAutospacing="1" w:line="540" w:lineRule="exact"/>
        <w:ind w:firstLine="480" w:firstLineChars="200"/>
        <w:contextualSpacing/>
        <w:jc w:val="left"/>
        <w:rPr>
          <w:b/>
          <w:sz w:val="36"/>
          <w:szCs w:val="36"/>
        </w:rPr>
      </w:pPr>
      <w:r>
        <w:rPr>
          <w:rFonts w:hint="eastAsia" w:ascii="宋体" w:hAnsi="宋体" w:cs="Helvetica"/>
          <w:bCs/>
          <w:color w:val="000000"/>
          <w:kern w:val="0"/>
          <w:sz w:val="24"/>
        </w:rPr>
        <w:t>附件：《衢州学院危险化学品申购审批单》</w:t>
      </w:r>
    </w:p>
    <w:p>
      <w:pPr>
        <w:jc w:val="center"/>
        <w:rPr>
          <w:b/>
          <w:sz w:val="36"/>
          <w:szCs w:val="36"/>
        </w:rPr>
      </w:pPr>
    </w:p>
    <w:p>
      <w:pPr>
        <w:jc w:val="left"/>
        <w:rPr>
          <w:rFonts w:ascii="宋体" w:hAnsi="宋体" w:cs="Helvetica"/>
          <w:bCs/>
          <w:color w:val="000000"/>
          <w:kern w:val="0"/>
          <w:sz w:val="24"/>
        </w:rPr>
      </w:pPr>
    </w:p>
    <w:p>
      <w:pPr>
        <w:jc w:val="left"/>
        <w:rPr>
          <w:rFonts w:ascii="宋体" w:hAnsi="宋体" w:cs="Helvetica"/>
          <w:bCs/>
          <w:color w:val="000000"/>
          <w:kern w:val="0"/>
          <w:sz w:val="24"/>
        </w:rPr>
      </w:pPr>
    </w:p>
    <w:p>
      <w:pPr>
        <w:jc w:val="left"/>
        <w:rPr>
          <w:rFonts w:ascii="宋体" w:hAnsi="宋体" w:cs="Helvetica"/>
          <w:bCs/>
          <w:color w:val="000000"/>
          <w:kern w:val="0"/>
          <w:sz w:val="24"/>
        </w:rPr>
        <w:sectPr>
          <w:pgSz w:w="11906" w:h="16838"/>
          <w:pgMar w:top="1440" w:right="1800" w:bottom="1440" w:left="1800" w:header="851" w:footer="992" w:gutter="0"/>
          <w:cols w:space="425" w:num="1"/>
          <w:docGrid w:type="lines" w:linePitch="312" w:charSpace="0"/>
        </w:sectPr>
      </w:pPr>
    </w:p>
    <w:p>
      <w:pPr>
        <w:jc w:val="left"/>
        <w:rPr>
          <w:rFonts w:ascii="宋体" w:hAnsi="宋体" w:cs="Helvetica"/>
          <w:bCs/>
          <w:color w:val="000000"/>
          <w:kern w:val="0"/>
          <w:sz w:val="24"/>
        </w:rPr>
      </w:pPr>
      <w:r>
        <w:rPr>
          <w:rFonts w:hint="eastAsia" w:ascii="宋体" w:hAnsi="宋体" w:cs="Helvetica"/>
          <w:bCs/>
          <w:color w:val="000000"/>
          <w:kern w:val="0"/>
          <w:sz w:val="24"/>
        </w:rPr>
        <w:t>附件：</w:t>
      </w:r>
    </w:p>
    <w:p>
      <w:pPr>
        <w:jc w:val="center"/>
        <w:rPr>
          <w:b/>
          <w:sz w:val="36"/>
          <w:szCs w:val="36"/>
        </w:rPr>
      </w:pPr>
      <w:r>
        <w:rPr>
          <w:rFonts w:hint="eastAsia"/>
          <w:b/>
          <w:sz w:val="36"/>
          <w:szCs w:val="36"/>
        </w:rPr>
        <w:t>衢州学院危险化学品申购审批单</w:t>
      </w:r>
    </w:p>
    <w:p>
      <w:pPr>
        <w:jc w:val="center"/>
        <w:rPr>
          <w:b/>
          <w:sz w:val="36"/>
          <w:szCs w:val="36"/>
        </w:rPr>
      </w:pPr>
    </w:p>
    <w:p>
      <w:pPr>
        <w:jc w:val="left"/>
        <w:rPr>
          <w:b/>
          <w:sz w:val="20"/>
        </w:rPr>
      </w:pPr>
      <w:r>
        <w:rPr>
          <w:rFonts w:hint="eastAsia"/>
          <w:b/>
          <w:sz w:val="20"/>
        </w:rPr>
        <w:t>（危化品种类：</w:t>
      </w:r>
      <w:r>
        <w:rPr>
          <w:rFonts w:hint="eastAsia" w:asciiTheme="minorEastAsia" w:hAnsiTheme="minorEastAsia"/>
          <w:sz w:val="20"/>
        </w:rPr>
        <w:t>□</w:t>
      </w:r>
      <w:r>
        <w:rPr>
          <w:rFonts w:hint="eastAsia"/>
          <w:b/>
          <w:sz w:val="20"/>
        </w:rPr>
        <w:t xml:space="preserve"> </w:t>
      </w:r>
      <w:r>
        <w:rPr>
          <w:rFonts w:hint="eastAsia" w:asciiTheme="minorHAnsi" w:hAnsiTheme="minorHAnsi" w:cstheme="minorBidi"/>
          <w:b/>
          <w:sz w:val="20"/>
        </w:rPr>
        <w:t>管制类</w:t>
      </w:r>
      <w:r>
        <w:rPr>
          <w:rFonts w:hint="eastAsia"/>
          <w:b/>
          <w:sz w:val="20"/>
        </w:rPr>
        <w:t xml:space="preserve"> </w:t>
      </w:r>
      <w:r>
        <w:rPr>
          <w:rFonts w:hint="eastAsia" w:asciiTheme="minorEastAsia" w:hAnsiTheme="minorEastAsia"/>
          <w:sz w:val="20"/>
        </w:rPr>
        <w:t>□</w:t>
      </w:r>
      <w:r>
        <w:rPr>
          <w:rFonts w:hint="eastAsia"/>
          <w:b/>
          <w:sz w:val="20"/>
        </w:rPr>
        <w:t>普通类）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49"/>
        <w:gridCol w:w="567"/>
        <w:gridCol w:w="709"/>
        <w:gridCol w:w="1134"/>
        <w:gridCol w:w="851"/>
        <w:gridCol w:w="850"/>
        <w:gridCol w:w="142"/>
        <w:gridCol w:w="1134"/>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2" w:type="dxa"/>
            <w:gridSpan w:val="3"/>
            <w:vAlign w:val="center"/>
          </w:tcPr>
          <w:p>
            <w:pPr>
              <w:jc w:val="center"/>
              <w:rPr>
                <w:sz w:val="18"/>
                <w:szCs w:val="18"/>
              </w:rPr>
            </w:pPr>
            <w:r>
              <w:rPr>
                <w:rFonts w:hint="eastAsia"/>
                <w:sz w:val="18"/>
                <w:szCs w:val="18"/>
              </w:rPr>
              <w:t>申购部门</w:t>
            </w:r>
          </w:p>
        </w:tc>
        <w:tc>
          <w:tcPr>
            <w:tcW w:w="1843" w:type="dxa"/>
            <w:gridSpan w:val="2"/>
            <w:vAlign w:val="center"/>
          </w:tcPr>
          <w:p>
            <w:pPr>
              <w:jc w:val="center"/>
              <w:rPr>
                <w:sz w:val="18"/>
                <w:szCs w:val="18"/>
              </w:rPr>
            </w:pPr>
          </w:p>
        </w:tc>
        <w:tc>
          <w:tcPr>
            <w:tcW w:w="851" w:type="dxa"/>
            <w:vAlign w:val="center"/>
          </w:tcPr>
          <w:p>
            <w:pPr>
              <w:jc w:val="center"/>
              <w:rPr>
                <w:sz w:val="18"/>
                <w:szCs w:val="18"/>
              </w:rPr>
            </w:pPr>
            <w:r>
              <w:rPr>
                <w:rFonts w:hint="eastAsia"/>
                <w:sz w:val="18"/>
                <w:szCs w:val="18"/>
              </w:rPr>
              <w:t>申购人</w:t>
            </w:r>
          </w:p>
        </w:tc>
        <w:tc>
          <w:tcPr>
            <w:tcW w:w="992" w:type="dxa"/>
            <w:gridSpan w:val="2"/>
            <w:vAlign w:val="center"/>
          </w:tcPr>
          <w:p>
            <w:pPr>
              <w:jc w:val="center"/>
              <w:rPr>
                <w:sz w:val="18"/>
                <w:szCs w:val="18"/>
              </w:rPr>
            </w:pPr>
          </w:p>
        </w:tc>
        <w:tc>
          <w:tcPr>
            <w:tcW w:w="1134" w:type="dxa"/>
            <w:vAlign w:val="center"/>
          </w:tcPr>
          <w:p>
            <w:pPr>
              <w:jc w:val="center"/>
              <w:rPr>
                <w:sz w:val="18"/>
                <w:szCs w:val="18"/>
              </w:rPr>
            </w:pPr>
            <w:r>
              <w:rPr>
                <w:rFonts w:hint="eastAsia"/>
                <w:sz w:val="18"/>
                <w:szCs w:val="18"/>
              </w:rPr>
              <w:t>联系电话</w:t>
            </w:r>
          </w:p>
        </w:tc>
        <w:tc>
          <w:tcPr>
            <w:tcW w:w="2460" w:type="dxa"/>
            <w:gridSpan w:val="2"/>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75" w:type="dxa"/>
            <w:gridSpan w:val="2"/>
            <w:vAlign w:val="center"/>
          </w:tcPr>
          <w:p>
            <w:pPr>
              <w:jc w:val="center"/>
              <w:rPr>
                <w:sz w:val="18"/>
                <w:szCs w:val="18"/>
              </w:rPr>
            </w:pPr>
            <w:r>
              <w:rPr>
                <w:rFonts w:hint="eastAsia"/>
                <w:sz w:val="18"/>
                <w:szCs w:val="18"/>
              </w:rPr>
              <w:t>序号</w:t>
            </w:r>
          </w:p>
        </w:tc>
        <w:tc>
          <w:tcPr>
            <w:tcW w:w="1276" w:type="dxa"/>
            <w:gridSpan w:val="2"/>
            <w:vAlign w:val="center"/>
          </w:tcPr>
          <w:p>
            <w:pPr>
              <w:jc w:val="center"/>
              <w:rPr>
                <w:sz w:val="18"/>
                <w:szCs w:val="18"/>
              </w:rPr>
            </w:pPr>
            <w:r>
              <w:rPr>
                <w:rFonts w:hint="eastAsia"/>
                <w:sz w:val="18"/>
                <w:szCs w:val="18"/>
              </w:rPr>
              <w:t>名称</w:t>
            </w:r>
          </w:p>
        </w:tc>
        <w:tc>
          <w:tcPr>
            <w:tcW w:w="1134" w:type="dxa"/>
            <w:vAlign w:val="center"/>
          </w:tcPr>
          <w:p>
            <w:pPr>
              <w:jc w:val="center"/>
              <w:rPr>
                <w:sz w:val="18"/>
                <w:szCs w:val="18"/>
              </w:rPr>
            </w:pPr>
            <w:r>
              <w:rPr>
                <w:rFonts w:hint="eastAsia"/>
                <w:sz w:val="18"/>
                <w:szCs w:val="18"/>
              </w:rPr>
              <w:t>种类明细</w:t>
            </w:r>
          </w:p>
        </w:tc>
        <w:tc>
          <w:tcPr>
            <w:tcW w:w="851" w:type="dxa"/>
            <w:vAlign w:val="center"/>
          </w:tcPr>
          <w:p>
            <w:pPr>
              <w:jc w:val="center"/>
              <w:rPr>
                <w:sz w:val="18"/>
                <w:szCs w:val="18"/>
              </w:rPr>
            </w:pPr>
            <w:r>
              <w:rPr>
                <w:rFonts w:hint="eastAsia"/>
                <w:sz w:val="18"/>
                <w:szCs w:val="18"/>
              </w:rPr>
              <w:t>CAS号</w:t>
            </w:r>
          </w:p>
        </w:tc>
        <w:tc>
          <w:tcPr>
            <w:tcW w:w="992" w:type="dxa"/>
            <w:gridSpan w:val="2"/>
            <w:vAlign w:val="center"/>
          </w:tcPr>
          <w:p>
            <w:pPr>
              <w:jc w:val="center"/>
              <w:rPr>
                <w:sz w:val="18"/>
                <w:szCs w:val="18"/>
              </w:rPr>
            </w:pPr>
            <w:r>
              <w:rPr>
                <w:rFonts w:hint="eastAsia"/>
                <w:sz w:val="18"/>
                <w:szCs w:val="18"/>
              </w:rPr>
              <w:t>规格</w:t>
            </w:r>
          </w:p>
        </w:tc>
        <w:tc>
          <w:tcPr>
            <w:tcW w:w="1134" w:type="dxa"/>
            <w:vAlign w:val="center"/>
          </w:tcPr>
          <w:p>
            <w:pPr>
              <w:jc w:val="center"/>
              <w:rPr>
                <w:sz w:val="18"/>
                <w:szCs w:val="18"/>
              </w:rPr>
            </w:pPr>
            <w:r>
              <w:rPr>
                <w:rFonts w:hint="eastAsia"/>
                <w:sz w:val="18"/>
                <w:szCs w:val="18"/>
              </w:rPr>
              <w:t>数量</w:t>
            </w:r>
          </w:p>
        </w:tc>
        <w:tc>
          <w:tcPr>
            <w:tcW w:w="1134" w:type="dxa"/>
            <w:vAlign w:val="center"/>
          </w:tcPr>
          <w:p>
            <w:pPr>
              <w:jc w:val="center"/>
              <w:rPr>
                <w:sz w:val="18"/>
                <w:szCs w:val="18"/>
              </w:rPr>
            </w:pPr>
            <w:r>
              <w:rPr>
                <w:rFonts w:hint="eastAsia"/>
                <w:sz w:val="18"/>
                <w:szCs w:val="18"/>
              </w:rPr>
              <w:t>使用地点</w:t>
            </w:r>
          </w:p>
        </w:tc>
        <w:tc>
          <w:tcPr>
            <w:tcW w:w="1326" w:type="dxa"/>
            <w:vAlign w:val="center"/>
          </w:tcPr>
          <w:p>
            <w:pPr>
              <w:jc w:val="center"/>
              <w:rPr>
                <w:sz w:val="18"/>
                <w:szCs w:val="18"/>
              </w:rPr>
            </w:pPr>
            <w:r>
              <w:rPr>
                <w:rFonts w:hint="eastAsia"/>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pPr>
              <w:jc w:val="center"/>
              <w:rPr>
                <w:sz w:val="18"/>
                <w:szCs w:val="18"/>
              </w:rPr>
            </w:pPr>
            <w:r>
              <w:rPr>
                <w:rFonts w:hint="eastAsia"/>
                <w:sz w:val="18"/>
                <w:szCs w:val="18"/>
              </w:rPr>
              <w:t>1</w:t>
            </w:r>
          </w:p>
        </w:tc>
        <w:tc>
          <w:tcPr>
            <w:tcW w:w="1276" w:type="dxa"/>
            <w:gridSpan w:val="2"/>
            <w:vAlign w:val="center"/>
          </w:tcPr>
          <w:p>
            <w:pPr>
              <w:jc w:val="center"/>
              <w:rPr>
                <w:sz w:val="18"/>
                <w:szCs w:val="18"/>
              </w:rPr>
            </w:pPr>
          </w:p>
        </w:tc>
        <w:tc>
          <w:tcPr>
            <w:tcW w:w="1134" w:type="dxa"/>
            <w:vAlign w:val="center"/>
          </w:tcPr>
          <w:p>
            <w:pPr>
              <w:jc w:val="center"/>
              <w:rPr>
                <w:sz w:val="18"/>
                <w:szCs w:val="18"/>
              </w:rPr>
            </w:pPr>
          </w:p>
        </w:tc>
        <w:tc>
          <w:tcPr>
            <w:tcW w:w="851" w:type="dxa"/>
            <w:vAlign w:val="center"/>
          </w:tcPr>
          <w:p>
            <w:pPr>
              <w:jc w:val="center"/>
              <w:rPr>
                <w:sz w:val="18"/>
                <w:szCs w:val="18"/>
              </w:rPr>
            </w:pPr>
          </w:p>
        </w:tc>
        <w:tc>
          <w:tcPr>
            <w:tcW w:w="992" w:type="dxa"/>
            <w:gridSpan w:val="2"/>
            <w:vAlign w:val="center"/>
          </w:tcPr>
          <w:p>
            <w:pPr>
              <w:jc w:val="center"/>
              <w:rPr>
                <w:sz w:val="18"/>
                <w:szCs w:val="18"/>
              </w:rPr>
            </w:pPr>
          </w:p>
        </w:tc>
        <w:tc>
          <w:tcPr>
            <w:tcW w:w="1134" w:type="dxa"/>
            <w:vAlign w:val="center"/>
          </w:tcPr>
          <w:p>
            <w:pPr>
              <w:jc w:val="center"/>
              <w:rPr>
                <w:sz w:val="18"/>
                <w:szCs w:val="18"/>
              </w:rPr>
            </w:pPr>
          </w:p>
        </w:tc>
        <w:tc>
          <w:tcPr>
            <w:tcW w:w="1134" w:type="dxa"/>
            <w:vAlign w:val="center"/>
          </w:tcPr>
          <w:p>
            <w:pPr>
              <w:jc w:val="center"/>
              <w:rPr>
                <w:sz w:val="18"/>
                <w:szCs w:val="18"/>
              </w:rPr>
            </w:pPr>
          </w:p>
        </w:tc>
        <w:tc>
          <w:tcPr>
            <w:tcW w:w="1326"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pPr>
              <w:jc w:val="center"/>
              <w:rPr>
                <w:sz w:val="18"/>
                <w:szCs w:val="18"/>
              </w:rPr>
            </w:pPr>
            <w:r>
              <w:rPr>
                <w:rFonts w:hint="eastAsia"/>
                <w:sz w:val="18"/>
                <w:szCs w:val="18"/>
              </w:rPr>
              <w:t>2</w:t>
            </w:r>
          </w:p>
        </w:tc>
        <w:tc>
          <w:tcPr>
            <w:tcW w:w="1276" w:type="dxa"/>
            <w:gridSpan w:val="2"/>
            <w:vAlign w:val="center"/>
          </w:tcPr>
          <w:p>
            <w:pPr>
              <w:jc w:val="center"/>
              <w:rPr>
                <w:sz w:val="18"/>
                <w:szCs w:val="18"/>
              </w:rPr>
            </w:pPr>
          </w:p>
        </w:tc>
        <w:tc>
          <w:tcPr>
            <w:tcW w:w="1134" w:type="dxa"/>
            <w:vAlign w:val="center"/>
          </w:tcPr>
          <w:p>
            <w:pPr>
              <w:jc w:val="center"/>
              <w:rPr>
                <w:sz w:val="18"/>
                <w:szCs w:val="18"/>
              </w:rPr>
            </w:pPr>
          </w:p>
        </w:tc>
        <w:tc>
          <w:tcPr>
            <w:tcW w:w="851" w:type="dxa"/>
            <w:vAlign w:val="center"/>
          </w:tcPr>
          <w:p>
            <w:pPr>
              <w:jc w:val="center"/>
              <w:rPr>
                <w:sz w:val="18"/>
                <w:szCs w:val="18"/>
              </w:rPr>
            </w:pPr>
          </w:p>
        </w:tc>
        <w:tc>
          <w:tcPr>
            <w:tcW w:w="992" w:type="dxa"/>
            <w:gridSpan w:val="2"/>
            <w:vAlign w:val="center"/>
          </w:tcPr>
          <w:p>
            <w:pPr>
              <w:jc w:val="center"/>
              <w:rPr>
                <w:sz w:val="18"/>
                <w:szCs w:val="18"/>
              </w:rPr>
            </w:pPr>
          </w:p>
        </w:tc>
        <w:tc>
          <w:tcPr>
            <w:tcW w:w="1134" w:type="dxa"/>
            <w:vAlign w:val="center"/>
          </w:tcPr>
          <w:p>
            <w:pPr>
              <w:jc w:val="center"/>
              <w:rPr>
                <w:sz w:val="18"/>
                <w:szCs w:val="18"/>
              </w:rPr>
            </w:pPr>
          </w:p>
        </w:tc>
        <w:tc>
          <w:tcPr>
            <w:tcW w:w="1134" w:type="dxa"/>
            <w:vAlign w:val="center"/>
          </w:tcPr>
          <w:p>
            <w:pPr>
              <w:jc w:val="center"/>
              <w:rPr>
                <w:sz w:val="18"/>
                <w:szCs w:val="18"/>
              </w:rPr>
            </w:pPr>
          </w:p>
        </w:tc>
        <w:tc>
          <w:tcPr>
            <w:tcW w:w="1326"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pPr>
              <w:jc w:val="center"/>
              <w:rPr>
                <w:sz w:val="18"/>
                <w:szCs w:val="18"/>
              </w:rPr>
            </w:pPr>
            <w:r>
              <w:rPr>
                <w:rFonts w:hint="eastAsia"/>
                <w:sz w:val="18"/>
                <w:szCs w:val="18"/>
              </w:rPr>
              <w:t>3</w:t>
            </w:r>
          </w:p>
        </w:tc>
        <w:tc>
          <w:tcPr>
            <w:tcW w:w="1276" w:type="dxa"/>
            <w:gridSpan w:val="2"/>
            <w:vAlign w:val="center"/>
          </w:tcPr>
          <w:p>
            <w:pPr>
              <w:jc w:val="center"/>
              <w:rPr>
                <w:sz w:val="18"/>
                <w:szCs w:val="18"/>
              </w:rPr>
            </w:pPr>
          </w:p>
        </w:tc>
        <w:tc>
          <w:tcPr>
            <w:tcW w:w="1134" w:type="dxa"/>
            <w:vAlign w:val="center"/>
          </w:tcPr>
          <w:p>
            <w:pPr>
              <w:jc w:val="center"/>
              <w:rPr>
                <w:sz w:val="18"/>
                <w:szCs w:val="18"/>
              </w:rPr>
            </w:pPr>
          </w:p>
        </w:tc>
        <w:tc>
          <w:tcPr>
            <w:tcW w:w="851" w:type="dxa"/>
            <w:vAlign w:val="center"/>
          </w:tcPr>
          <w:p>
            <w:pPr>
              <w:jc w:val="center"/>
              <w:rPr>
                <w:sz w:val="18"/>
                <w:szCs w:val="18"/>
              </w:rPr>
            </w:pPr>
          </w:p>
        </w:tc>
        <w:tc>
          <w:tcPr>
            <w:tcW w:w="992" w:type="dxa"/>
            <w:gridSpan w:val="2"/>
            <w:vAlign w:val="center"/>
          </w:tcPr>
          <w:p>
            <w:pPr>
              <w:jc w:val="center"/>
              <w:rPr>
                <w:sz w:val="18"/>
                <w:szCs w:val="18"/>
              </w:rPr>
            </w:pPr>
          </w:p>
        </w:tc>
        <w:tc>
          <w:tcPr>
            <w:tcW w:w="1134" w:type="dxa"/>
            <w:vAlign w:val="center"/>
          </w:tcPr>
          <w:p>
            <w:pPr>
              <w:jc w:val="center"/>
              <w:rPr>
                <w:sz w:val="18"/>
                <w:szCs w:val="18"/>
              </w:rPr>
            </w:pPr>
          </w:p>
        </w:tc>
        <w:tc>
          <w:tcPr>
            <w:tcW w:w="1134" w:type="dxa"/>
            <w:vAlign w:val="center"/>
          </w:tcPr>
          <w:p>
            <w:pPr>
              <w:jc w:val="center"/>
              <w:rPr>
                <w:sz w:val="18"/>
                <w:szCs w:val="18"/>
              </w:rPr>
            </w:pPr>
          </w:p>
        </w:tc>
        <w:tc>
          <w:tcPr>
            <w:tcW w:w="1326"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pPr>
              <w:jc w:val="center"/>
              <w:rPr>
                <w:sz w:val="18"/>
                <w:szCs w:val="18"/>
              </w:rPr>
            </w:pPr>
            <w:r>
              <w:rPr>
                <w:rFonts w:hint="eastAsia"/>
                <w:sz w:val="18"/>
                <w:szCs w:val="18"/>
              </w:rPr>
              <w:t>4</w:t>
            </w:r>
          </w:p>
        </w:tc>
        <w:tc>
          <w:tcPr>
            <w:tcW w:w="1276" w:type="dxa"/>
            <w:gridSpan w:val="2"/>
            <w:vAlign w:val="center"/>
          </w:tcPr>
          <w:p>
            <w:pPr>
              <w:jc w:val="center"/>
              <w:rPr>
                <w:sz w:val="18"/>
                <w:szCs w:val="18"/>
              </w:rPr>
            </w:pPr>
          </w:p>
        </w:tc>
        <w:tc>
          <w:tcPr>
            <w:tcW w:w="1134" w:type="dxa"/>
            <w:vAlign w:val="center"/>
          </w:tcPr>
          <w:p>
            <w:pPr>
              <w:jc w:val="center"/>
              <w:rPr>
                <w:sz w:val="18"/>
                <w:szCs w:val="18"/>
              </w:rPr>
            </w:pPr>
          </w:p>
        </w:tc>
        <w:tc>
          <w:tcPr>
            <w:tcW w:w="851" w:type="dxa"/>
            <w:vAlign w:val="center"/>
          </w:tcPr>
          <w:p>
            <w:pPr>
              <w:jc w:val="center"/>
              <w:rPr>
                <w:sz w:val="18"/>
                <w:szCs w:val="18"/>
              </w:rPr>
            </w:pPr>
          </w:p>
        </w:tc>
        <w:tc>
          <w:tcPr>
            <w:tcW w:w="992" w:type="dxa"/>
            <w:gridSpan w:val="2"/>
            <w:vAlign w:val="center"/>
          </w:tcPr>
          <w:p>
            <w:pPr>
              <w:jc w:val="center"/>
              <w:rPr>
                <w:sz w:val="18"/>
                <w:szCs w:val="18"/>
              </w:rPr>
            </w:pPr>
          </w:p>
        </w:tc>
        <w:tc>
          <w:tcPr>
            <w:tcW w:w="1134" w:type="dxa"/>
            <w:vAlign w:val="center"/>
          </w:tcPr>
          <w:p>
            <w:pPr>
              <w:jc w:val="center"/>
              <w:rPr>
                <w:sz w:val="18"/>
                <w:szCs w:val="18"/>
              </w:rPr>
            </w:pPr>
          </w:p>
        </w:tc>
        <w:tc>
          <w:tcPr>
            <w:tcW w:w="1134" w:type="dxa"/>
            <w:vAlign w:val="center"/>
          </w:tcPr>
          <w:p>
            <w:pPr>
              <w:jc w:val="center"/>
              <w:rPr>
                <w:sz w:val="18"/>
                <w:szCs w:val="18"/>
              </w:rPr>
            </w:pPr>
          </w:p>
        </w:tc>
        <w:tc>
          <w:tcPr>
            <w:tcW w:w="1326"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pPr>
              <w:jc w:val="center"/>
              <w:rPr>
                <w:sz w:val="18"/>
                <w:szCs w:val="18"/>
              </w:rPr>
            </w:pPr>
            <w:r>
              <w:rPr>
                <w:rFonts w:hint="eastAsia"/>
                <w:sz w:val="18"/>
                <w:szCs w:val="18"/>
              </w:rPr>
              <w:t>5</w:t>
            </w:r>
          </w:p>
        </w:tc>
        <w:tc>
          <w:tcPr>
            <w:tcW w:w="1276" w:type="dxa"/>
            <w:gridSpan w:val="2"/>
            <w:vAlign w:val="center"/>
          </w:tcPr>
          <w:p>
            <w:pPr>
              <w:jc w:val="center"/>
              <w:rPr>
                <w:sz w:val="18"/>
                <w:szCs w:val="18"/>
              </w:rPr>
            </w:pPr>
          </w:p>
        </w:tc>
        <w:tc>
          <w:tcPr>
            <w:tcW w:w="1134" w:type="dxa"/>
            <w:vAlign w:val="center"/>
          </w:tcPr>
          <w:p>
            <w:pPr>
              <w:jc w:val="center"/>
              <w:rPr>
                <w:sz w:val="18"/>
                <w:szCs w:val="18"/>
              </w:rPr>
            </w:pPr>
          </w:p>
        </w:tc>
        <w:tc>
          <w:tcPr>
            <w:tcW w:w="851" w:type="dxa"/>
            <w:vAlign w:val="center"/>
          </w:tcPr>
          <w:p>
            <w:pPr>
              <w:jc w:val="center"/>
              <w:rPr>
                <w:sz w:val="18"/>
                <w:szCs w:val="18"/>
              </w:rPr>
            </w:pPr>
          </w:p>
        </w:tc>
        <w:tc>
          <w:tcPr>
            <w:tcW w:w="992" w:type="dxa"/>
            <w:gridSpan w:val="2"/>
            <w:vAlign w:val="center"/>
          </w:tcPr>
          <w:p>
            <w:pPr>
              <w:jc w:val="center"/>
              <w:rPr>
                <w:sz w:val="18"/>
                <w:szCs w:val="18"/>
              </w:rPr>
            </w:pPr>
          </w:p>
        </w:tc>
        <w:tc>
          <w:tcPr>
            <w:tcW w:w="1134" w:type="dxa"/>
            <w:vAlign w:val="center"/>
          </w:tcPr>
          <w:p>
            <w:pPr>
              <w:jc w:val="center"/>
              <w:rPr>
                <w:sz w:val="18"/>
                <w:szCs w:val="18"/>
              </w:rPr>
            </w:pPr>
          </w:p>
        </w:tc>
        <w:tc>
          <w:tcPr>
            <w:tcW w:w="1134" w:type="dxa"/>
            <w:vAlign w:val="center"/>
          </w:tcPr>
          <w:p>
            <w:pPr>
              <w:jc w:val="center"/>
              <w:rPr>
                <w:sz w:val="18"/>
                <w:szCs w:val="18"/>
              </w:rPr>
            </w:pPr>
          </w:p>
        </w:tc>
        <w:tc>
          <w:tcPr>
            <w:tcW w:w="1326"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42" w:type="dxa"/>
            <w:gridSpan w:val="3"/>
            <w:vAlign w:val="center"/>
          </w:tcPr>
          <w:p>
            <w:pPr>
              <w:jc w:val="center"/>
              <w:rPr>
                <w:sz w:val="18"/>
                <w:szCs w:val="18"/>
              </w:rPr>
            </w:pPr>
            <w:r>
              <w:rPr>
                <w:rFonts w:hint="eastAsia"/>
                <w:sz w:val="18"/>
                <w:szCs w:val="18"/>
              </w:rPr>
              <w:t>存放地点</w:t>
            </w:r>
          </w:p>
        </w:tc>
        <w:tc>
          <w:tcPr>
            <w:tcW w:w="1843" w:type="dxa"/>
            <w:gridSpan w:val="2"/>
            <w:vAlign w:val="center"/>
          </w:tcPr>
          <w:p>
            <w:pPr>
              <w:jc w:val="center"/>
              <w:rPr>
                <w:sz w:val="18"/>
                <w:szCs w:val="18"/>
              </w:rPr>
            </w:pPr>
          </w:p>
        </w:tc>
        <w:tc>
          <w:tcPr>
            <w:tcW w:w="1701" w:type="dxa"/>
            <w:gridSpan w:val="2"/>
            <w:vAlign w:val="center"/>
          </w:tcPr>
          <w:p>
            <w:pPr>
              <w:jc w:val="center"/>
              <w:rPr>
                <w:sz w:val="18"/>
                <w:szCs w:val="18"/>
              </w:rPr>
            </w:pPr>
            <w:r>
              <w:rPr>
                <w:rFonts w:hint="eastAsia"/>
                <w:sz w:val="18"/>
                <w:szCs w:val="18"/>
              </w:rPr>
              <w:t>预计使用时间</w:t>
            </w:r>
          </w:p>
        </w:tc>
        <w:tc>
          <w:tcPr>
            <w:tcW w:w="3736" w:type="dxa"/>
            <w:gridSpan w:val="4"/>
            <w:vAlign w:val="center"/>
          </w:tcPr>
          <w:p>
            <w:pPr>
              <w:jc w:val="center"/>
              <w:rPr>
                <w:sz w:val="18"/>
                <w:szCs w:val="18"/>
              </w:rPr>
            </w:pPr>
            <w:r>
              <w:rPr>
                <w:rFonts w:hint="eastAsia"/>
                <w:sz w:val="18"/>
                <w:szCs w:val="18"/>
              </w:rPr>
              <w:t>年  月  日------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26" w:type="dxa"/>
            <w:vMerge w:val="restart"/>
            <w:vAlign w:val="center"/>
          </w:tcPr>
          <w:p>
            <w:pPr>
              <w:jc w:val="center"/>
              <w:rPr>
                <w:sz w:val="18"/>
                <w:szCs w:val="18"/>
              </w:rPr>
            </w:pPr>
            <w:r>
              <w:rPr>
                <w:rFonts w:hint="eastAsia"/>
                <w:sz w:val="18"/>
                <w:szCs w:val="18"/>
              </w:rPr>
              <w:t>使用人</w:t>
            </w:r>
          </w:p>
        </w:tc>
        <w:tc>
          <w:tcPr>
            <w:tcW w:w="1525" w:type="dxa"/>
            <w:gridSpan w:val="3"/>
            <w:vAlign w:val="center"/>
          </w:tcPr>
          <w:p>
            <w:pPr>
              <w:jc w:val="center"/>
              <w:rPr>
                <w:sz w:val="18"/>
                <w:szCs w:val="18"/>
              </w:rPr>
            </w:pPr>
            <w:r>
              <w:rPr>
                <w:rFonts w:hint="eastAsia"/>
                <w:sz w:val="18"/>
                <w:szCs w:val="18"/>
              </w:rPr>
              <w:t>甲签名</w:t>
            </w:r>
          </w:p>
        </w:tc>
        <w:tc>
          <w:tcPr>
            <w:tcW w:w="1985" w:type="dxa"/>
            <w:gridSpan w:val="2"/>
            <w:vAlign w:val="center"/>
          </w:tcPr>
          <w:p>
            <w:pPr>
              <w:jc w:val="center"/>
              <w:rPr>
                <w:sz w:val="18"/>
                <w:szCs w:val="18"/>
              </w:rPr>
            </w:pPr>
          </w:p>
        </w:tc>
        <w:tc>
          <w:tcPr>
            <w:tcW w:w="992" w:type="dxa"/>
            <w:gridSpan w:val="2"/>
            <w:vAlign w:val="center"/>
          </w:tcPr>
          <w:p>
            <w:pPr>
              <w:jc w:val="center"/>
              <w:rPr>
                <w:sz w:val="18"/>
                <w:szCs w:val="18"/>
              </w:rPr>
            </w:pPr>
            <w:r>
              <w:rPr>
                <w:rFonts w:hint="eastAsia"/>
                <w:sz w:val="18"/>
                <w:szCs w:val="18"/>
              </w:rPr>
              <w:t>电话</w:t>
            </w:r>
          </w:p>
        </w:tc>
        <w:tc>
          <w:tcPr>
            <w:tcW w:w="3594"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Merge w:val="continue"/>
            <w:vAlign w:val="center"/>
          </w:tcPr>
          <w:p>
            <w:pPr>
              <w:jc w:val="center"/>
              <w:rPr>
                <w:sz w:val="18"/>
                <w:szCs w:val="18"/>
              </w:rPr>
            </w:pPr>
          </w:p>
        </w:tc>
        <w:tc>
          <w:tcPr>
            <w:tcW w:w="1525" w:type="dxa"/>
            <w:gridSpan w:val="3"/>
            <w:vAlign w:val="center"/>
          </w:tcPr>
          <w:p>
            <w:pPr>
              <w:jc w:val="center"/>
              <w:rPr>
                <w:sz w:val="18"/>
                <w:szCs w:val="18"/>
              </w:rPr>
            </w:pPr>
            <w:r>
              <w:rPr>
                <w:rFonts w:hint="eastAsia"/>
                <w:sz w:val="18"/>
                <w:szCs w:val="18"/>
              </w:rPr>
              <w:t>乙签名</w:t>
            </w:r>
          </w:p>
        </w:tc>
        <w:tc>
          <w:tcPr>
            <w:tcW w:w="1985" w:type="dxa"/>
            <w:gridSpan w:val="2"/>
            <w:vAlign w:val="center"/>
          </w:tcPr>
          <w:p>
            <w:pPr>
              <w:jc w:val="center"/>
              <w:rPr>
                <w:sz w:val="18"/>
                <w:szCs w:val="18"/>
              </w:rPr>
            </w:pPr>
          </w:p>
        </w:tc>
        <w:tc>
          <w:tcPr>
            <w:tcW w:w="992" w:type="dxa"/>
            <w:gridSpan w:val="2"/>
            <w:vAlign w:val="center"/>
          </w:tcPr>
          <w:p>
            <w:pPr>
              <w:jc w:val="center"/>
              <w:rPr>
                <w:sz w:val="18"/>
                <w:szCs w:val="18"/>
              </w:rPr>
            </w:pPr>
            <w:r>
              <w:rPr>
                <w:rFonts w:hint="eastAsia"/>
                <w:sz w:val="18"/>
                <w:szCs w:val="18"/>
              </w:rPr>
              <w:t>电话</w:t>
            </w:r>
          </w:p>
        </w:tc>
        <w:tc>
          <w:tcPr>
            <w:tcW w:w="3594"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 w:type="dxa"/>
            <w:vMerge w:val="restart"/>
            <w:vAlign w:val="center"/>
          </w:tcPr>
          <w:p>
            <w:pPr>
              <w:jc w:val="center"/>
              <w:rPr>
                <w:sz w:val="18"/>
                <w:szCs w:val="18"/>
              </w:rPr>
            </w:pPr>
            <w:r>
              <w:rPr>
                <w:rFonts w:hint="eastAsia"/>
                <w:sz w:val="18"/>
                <w:szCs w:val="18"/>
              </w:rPr>
              <w:t>保管人</w:t>
            </w:r>
          </w:p>
        </w:tc>
        <w:tc>
          <w:tcPr>
            <w:tcW w:w="1525" w:type="dxa"/>
            <w:gridSpan w:val="3"/>
            <w:vAlign w:val="center"/>
          </w:tcPr>
          <w:p>
            <w:pPr>
              <w:jc w:val="center"/>
              <w:rPr>
                <w:sz w:val="18"/>
                <w:szCs w:val="18"/>
              </w:rPr>
            </w:pPr>
            <w:r>
              <w:rPr>
                <w:rFonts w:hint="eastAsia"/>
                <w:sz w:val="18"/>
                <w:szCs w:val="18"/>
              </w:rPr>
              <w:t>甲签名</w:t>
            </w:r>
          </w:p>
        </w:tc>
        <w:tc>
          <w:tcPr>
            <w:tcW w:w="1985" w:type="dxa"/>
            <w:gridSpan w:val="2"/>
            <w:vAlign w:val="center"/>
          </w:tcPr>
          <w:p>
            <w:pPr>
              <w:jc w:val="center"/>
              <w:rPr>
                <w:sz w:val="18"/>
                <w:szCs w:val="18"/>
              </w:rPr>
            </w:pPr>
          </w:p>
        </w:tc>
        <w:tc>
          <w:tcPr>
            <w:tcW w:w="992" w:type="dxa"/>
            <w:gridSpan w:val="2"/>
            <w:vAlign w:val="center"/>
          </w:tcPr>
          <w:p>
            <w:pPr>
              <w:jc w:val="center"/>
              <w:rPr>
                <w:sz w:val="18"/>
                <w:szCs w:val="18"/>
              </w:rPr>
            </w:pPr>
            <w:r>
              <w:rPr>
                <w:rFonts w:hint="eastAsia"/>
                <w:sz w:val="18"/>
                <w:szCs w:val="18"/>
              </w:rPr>
              <w:t>电话</w:t>
            </w:r>
          </w:p>
        </w:tc>
        <w:tc>
          <w:tcPr>
            <w:tcW w:w="3594"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6" w:type="dxa"/>
            <w:vMerge w:val="continue"/>
            <w:vAlign w:val="center"/>
          </w:tcPr>
          <w:p>
            <w:pPr>
              <w:jc w:val="center"/>
              <w:rPr>
                <w:sz w:val="18"/>
                <w:szCs w:val="18"/>
              </w:rPr>
            </w:pPr>
          </w:p>
        </w:tc>
        <w:tc>
          <w:tcPr>
            <w:tcW w:w="1525" w:type="dxa"/>
            <w:gridSpan w:val="3"/>
            <w:vAlign w:val="center"/>
          </w:tcPr>
          <w:p>
            <w:pPr>
              <w:jc w:val="center"/>
              <w:rPr>
                <w:sz w:val="18"/>
                <w:szCs w:val="18"/>
              </w:rPr>
            </w:pPr>
            <w:r>
              <w:rPr>
                <w:rFonts w:hint="eastAsia"/>
                <w:sz w:val="18"/>
                <w:szCs w:val="18"/>
              </w:rPr>
              <w:t>乙签名</w:t>
            </w:r>
          </w:p>
        </w:tc>
        <w:tc>
          <w:tcPr>
            <w:tcW w:w="1985" w:type="dxa"/>
            <w:gridSpan w:val="2"/>
            <w:vAlign w:val="center"/>
          </w:tcPr>
          <w:p>
            <w:pPr>
              <w:jc w:val="center"/>
              <w:rPr>
                <w:sz w:val="18"/>
                <w:szCs w:val="18"/>
              </w:rPr>
            </w:pPr>
          </w:p>
        </w:tc>
        <w:tc>
          <w:tcPr>
            <w:tcW w:w="992" w:type="dxa"/>
            <w:gridSpan w:val="2"/>
            <w:vAlign w:val="center"/>
          </w:tcPr>
          <w:p>
            <w:pPr>
              <w:jc w:val="center"/>
              <w:rPr>
                <w:sz w:val="18"/>
                <w:szCs w:val="18"/>
              </w:rPr>
            </w:pPr>
            <w:r>
              <w:rPr>
                <w:rFonts w:hint="eastAsia"/>
                <w:sz w:val="18"/>
                <w:szCs w:val="18"/>
              </w:rPr>
              <w:t>电话</w:t>
            </w:r>
          </w:p>
        </w:tc>
        <w:tc>
          <w:tcPr>
            <w:tcW w:w="3594"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51" w:type="dxa"/>
            <w:gridSpan w:val="4"/>
            <w:vAlign w:val="center"/>
          </w:tcPr>
          <w:p>
            <w:pPr>
              <w:jc w:val="center"/>
              <w:rPr>
                <w:sz w:val="18"/>
                <w:szCs w:val="18"/>
              </w:rPr>
            </w:pPr>
            <w:r>
              <w:rPr>
                <w:rFonts w:hint="eastAsia"/>
                <w:sz w:val="18"/>
                <w:szCs w:val="18"/>
              </w:rPr>
              <w:t>用于科研项目的风险评估情况</w:t>
            </w:r>
          </w:p>
        </w:tc>
        <w:tc>
          <w:tcPr>
            <w:tcW w:w="6571" w:type="dxa"/>
            <w:gridSpan w:val="7"/>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951" w:type="dxa"/>
            <w:gridSpan w:val="4"/>
            <w:vAlign w:val="center"/>
          </w:tcPr>
          <w:p>
            <w:pPr>
              <w:jc w:val="center"/>
              <w:rPr>
                <w:sz w:val="18"/>
                <w:szCs w:val="18"/>
              </w:rPr>
            </w:pPr>
            <w:r>
              <w:rPr>
                <w:rFonts w:hint="eastAsia"/>
                <w:sz w:val="18"/>
                <w:szCs w:val="18"/>
              </w:rPr>
              <w:t>实验室主任意见</w:t>
            </w:r>
          </w:p>
        </w:tc>
        <w:tc>
          <w:tcPr>
            <w:tcW w:w="6571" w:type="dxa"/>
            <w:gridSpan w:val="7"/>
            <w:vAlign w:val="bottom"/>
          </w:tcPr>
          <w:p>
            <w:pPr>
              <w:wordWrap w:val="0"/>
              <w:ind w:right="990"/>
              <w:jc w:val="right"/>
              <w:rPr>
                <w:sz w:val="18"/>
                <w:szCs w:val="18"/>
              </w:rPr>
            </w:pPr>
            <w:r>
              <w:rPr>
                <w:rFonts w:hint="eastAsia"/>
                <w:sz w:val="18"/>
                <w:szCs w:val="18"/>
              </w:rPr>
              <w:t>签   字：</w:t>
            </w:r>
          </w:p>
          <w:p>
            <w:pPr>
              <w:ind w:right="90"/>
              <w:jc w:val="right"/>
              <w:rPr>
                <w:sz w:val="18"/>
                <w:szCs w:val="18"/>
              </w:rPr>
            </w:pPr>
            <w:r>
              <w:rPr>
                <w:rFonts w:hint="eastAsia"/>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951" w:type="dxa"/>
            <w:gridSpan w:val="4"/>
            <w:vAlign w:val="center"/>
          </w:tcPr>
          <w:p>
            <w:pPr>
              <w:jc w:val="center"/>
              <w:rPr>
                <w:sz w:val="18"/>
                <w:szCs w:val="18"/>
              </w:rPr>
            </w:pPr>
            <w:r>
              <w:rPr>
                <w:rFonts w:hint="eastAsia"/>
                <w:sz w:val="18"/>
                <w:szCs w:val="18"/>
              </w:rPr>
              <w:t>申购单位意见</w:t>
            </w:r>
          </w:p>
        </w:tc>
        <w:tc>
          <w:tcPr>
            <w:tcW w:w="6571" w:type="dxa"/>
            <w:gridSpan w:val="7"/>
            <w:vAlign w:val="bottom"/>
          </w:tcPr>
          <w:p>
            <w:pPr>
              <w:ind w:right="990"/>
              <w:jc w:val="right"/>
              <w:rPr>
                <w:sz w:val="18"/>
                <w:szCs w:val="18"/>
              </w:rPr>
            </w:pPr>
            <w:r>
              <w:rPr>
                <w:rFonts w:hint="eastAsia"/>
                <w:sz w:val="18"/>
                <w:szCs w:val="18"/>
              </w:rPr>
              <w:t>负责人签字：</w:t>
            </w:r>
          </w:p>
          <w:p>
            <w:pPr>
              <w:jc w:val="right"/>
              <w:rPr>
                <w:sz w:val="18"/>
                <w:szCs w:val="18"/>
              </w:rPr>
            </w:pPr>
            <w:r>
              <w:rPr>
                <w:rFonts w:hint="eastAsia"/>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951" w:type="dxa"/>
            <w:gridSpan w:val="4"/>
            <w:vAlign w:val="center"/>
          </w:tcPr>
          <w:p>
            <w:pPr>
              <w:jc w:val="center"/>
              <w:rPr>
                <w:sz w:val="18"/>
                <w:szCs w:val="18"/>
              </w:rPr>
            </w:pPr>
            <w:r>
              <w:rPr>
                <w:rFonts w:hint="eastAsia"/>
                <w:sz w:val="18"/>
                <w:szCs w:val="18"/>
              </w:rPr>
              <w:t>保卫处意见</w:t>
            </w:r>
          </w:p>
        </w:tc>
        <w:tc>
          <w:tcPr>
            <w:tcW w:w="6571" w:type="dxa"/>
            <w:gridSpan w:val="7"/>
            <w:vAlign w:val="bottom"/>
          </w:tcPr>
          <w:p>
            <w:pPr>
              <w:ind w:right="990"/>
              <w:jc w:val="right"/>
              <w:rPr>
                <w:sz w:val="18"/>
                <w:szCs w:val="18"/>
              </w:rPr>
            </w:pPr>
            <w:r>
              <w:rPr>
                <w:rFonts w:hint="eastAsia"/>
                <w:sz w:val="18"/>
                <w:szCs w:val="18"/>
              </w:rPr>
              <w:t>负责人签字：</w:t>
            </w:r>
          </w:p>
          <w:p>
            <w:pPr>
              <w:jc w:val="right"/>
              <w:rPr>
                <w:sz w:val="18"/>
                <w:szCs w:val="18"/>
              </w:rPr>
            </w:pPr>
            <w:r>
              <w:rPr>
                <w:rFonts w:hint="eastAsia"/>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51" w:type="dxa"/>
            <w:gridSpan w:val="4"/>
            <w:vAlign w:val="center"/>
          </w:tcPr>
          <w:p>
            <w:pPr>
              <w:jc w:val="center"/>
              <w:rPr>
                <w:sz w:val="18"/>
                <w:szCs w:val="18"/>
              </w:rPr>
            </w:pPr>
            <w:r>
              <w:rPr>
                <w:rFonts w:hint="eastAsia"/>
                <w:sz w:val="18"/>
                <w:szCs w:val="18"/>
              </w:rPr>
              <w:t>实验室与资产管理处意见</w:t>
            </w:r>
          </w:p>
        </w:tc>
        <w:tc>
          <w:tcPr>
            <w:tcW w:w="6571" w:type="dxa"/>
            <w:gridSpan w:val="7"/>
            <w:vAlign w:val="bottom"/>
          </w:tcPr>
          <w:p>
            <w:pPr>
              <w:ind w:right="990"/>
              <w:jc w:val="right"/>
              <w:rPr>
                <w:sz w:val="18"/>
                <w:szCs w:val="18"/>
              </w:rPr>
            </w:pPr>
            <w:r>
              <w:rPr>
                <w:rFonts w:hint="eastAsia"/>
                <w:sz w:val="18"/>
                <w:szCs w:val="18"/>
              </w:rPr>
              <w:t>负责人签字：</w:t>
            </w:r>
          </w:p>
          <w:p>
            <w:pPr>
              <w:jc w:val="right"/>
              <w:rPr>
                <w:sz w:val="18"/>
                <w:szCs w:val="18"/>
              </w:rPr>
            </w:pPr>
            <w:r>
              <w:rPr>
                <w:rFonts w:hint="eastAsia"/>
                <w:sz w:val="18"/>
                <w:szCs w:val="18"/>
              </w:rPr>
              <w:t>年  月  日</w:t>
            </w:r>
          </w:p>
        </w:tc>
      </w:tr>
    </w:tbl>
    <w:p>
      <w:pPr>
        <w:rPr>
          <w:b/>
          <w:sz w:val="18"/>
          <w:szCs w:val="18"/>
        </w:rPr>
      </w:pPr>
      <w:r>
        <w:rPr>
          <w:rFonts w:hint="eastAsia"/>
          <w:b/>
          <w:sz w:val="18"/>
          <w:szCs w:val="18"/>
        </w:rPr>
        <w:t>备注：申购单一式三份，所属单位、实验室与资产管理处、保卫处各执一份。</w:t>
      </w:r>
    </w:p>
    <w:p>
      <w:pPr>
        <w:widowControl/>
        <w:jc w:val="left"/>
        <w:rPr>
          <w:rFonts w:ascii="宋体" w:hAnsi="宋体"/>
          <w:color w:val="000000"/>
          <w:kern w:val="0"/>
          <w:sz w:val="24"/>
          <w:szCs w:val="24"/>
        </w:rPr>
      </w:pPr>
      <w:r>
        <w:rPr>
          <w:rFonts w:ascii="宋体" w:hAnsi="宋体"/>
          <w:color w:val="000000"/>
          <w:kern w:val="0"/>
          <w:sz w:val="24"/>
          <w:szCs w:val="24"/>
        </w:rPr>
        <w:br w:type="page"/>
      </w:r>
    </w:p>
    <w:p>
      <w:pPr>
        <w:pStyle w:val="2"/>
      </w:pPr>
      <w:bookmarkStart w:id="69" w:name="_Toc46402438"/>
      <w:r>
        <w:rPr>
          <w:rFonts w:hint="eastAsia"/>
        </w:rPr>
        <w:t>衢州学院实验室安全检查制度</w:t>
      </w:r>
      <w:bookmarkEnd w:id="69"/>
    </w:p>
    <w:p>
      <w:pPr>
        <w:spacing w:line="560" w:lineRule="exact"/>
        <w:jc w:val="center"/>
        <w:rPr>
          <w:rFonts w:ascii="黑体" w:hAnsi="黑体" w:eastAsia="黑体"/>
          <w:b/>
          <w:sz w:val="32"/>
          <w:szCs w:val="32"/>
        </w:rPr>
      </w:pPr>
      <w:r>
        <w:rPr>
          <w:rFonts w:hint="eastAsia" w:ascii="黑体" w:hAnsi="黑体" w:eastAsia="黑体"/>
          <w:b/>
          <w:sz w:val="32"/>
          <w:szCs w:val="32"/>
        </w:rPr>
        <w:t>第一章  总  则</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第一条</w:t>
      </w:r>
      <w:r>
        <w:rPr>
          <w:rFonts w:hint="eastAsia" w:asciiTheme="minorEastAsia" w:hAnsiTheme="minorEastAsia"/>
          <w:sz w:val="24"/>
          <w:szCs w:val="24"/>
        </w:rPr>
        <w:t xml:space="preserve">  为进一步规范和加强学校实验室安全检查工作的制度化建设，确保实验室安全和教学、科研工作的正常进行，根据教育部办公厅《关于进一步加强高校教学实验室安全检查工作的通知》（教高厅</w:t>
      </w:r>
      <w:r>
        <w:rPr>
          <w:rFonts w:asciiTheme="minorEastAsia" w:hAnsiTheme="minorEastAsia"/>
          <w:sz w:val="24"/>
          <w:szCs w:val="24"/>
        </w:rPr>
        <w:t>[2019]1</w:t>
      </w:r>
      <w:r>
        <w:rPr>
          <w:rFonts w:hint="eastAsia" w:asciiTheme="minorEastAsia" w:hAnsiTheme="minorEastAsia"/>
          <w:sz w:val="24"/>
          <w:szCs w:val="24"/>
        </w:rPr>
        <w:t>号）《衢州学院关于进一步贯彻落实实验室安全管理责任体系的通知》（衢院〔2019〕23号）等文件精神，制定本规定。</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第二条</w:t>
      </w:r>
      <w:r>
        <w:rPr>
          <w:rFonts w:hint="eastAsia" w:asciiTheme="minorEastAsia" w:hAnsiTheme="minorEastAsia"/>
          <w:sz w:val="24"/>
          <w:szCs w:val="24"/>
        </w:rPr>
        <w:t xml:space="preserve">  实验室安全检查遵循“谁主管、谁负责，谁使用、谁负责，谁出问题、谁负责”和“安全第一、预防为主”的原则，实行“学校---二级学院（中心）---实验室”三级联动的安全检查制度。</w:t>
      </w:r>
    </w:p>
    <w:p>
      <w:pPr>
        <w:spacing w:line="560" w:lineRule="exact"/>
        <w:ind w:firstLine="482" w:firstLineChars="200"/>
        <w:rPr>
          <w:rFonts w:cs="Helvetica" w:asciiTheme="minorEastAsia" w:hAnsiTheme="minorEastAsia"/>
          <w:color w:val="000000"/>
          <w:kern w:val="0"/>
          <w:sz w:val="24"/>
        </w:rPr>
      </w:pPr>
      <w:r>
        <w:rPr>
          <w:rFonts w:hint="eastAsia" w:asciiTheme="minorEastAsia" w:hAnsiTheme="minorEastAsia"/>
          <w:b/>
          <w:sz w:val="24"/>
          <w:szCs w:val="24"/>
        </w:rPr>
        <w:t xml:space="preserve">第三条  </w:t>
      </w:r>
      <w:r>
        <w:rPr>
          <w:rFonts w:hint="eastAsia" w:asciiTheme="minorEastAsia" w:hAnsiTheme="minorEastAsia"/>
          <w:sz w:val="24"/>
          <w:szCs w:val="24"/>
        </w:rPr>
        <w:t>本规定</w:t>
      </w:r>
      <w:r>
        <w:rPr>
          <w:rFonts w:hint="eastAsia" w:cs="Helvetica" w:asciiTheme="minorEastAsia" w:hAnsiTheme="minorEastAsia"/>
          <w:bCs/>
          <w:color w:val="000000"/>
          <w:kern w:val="0"/>
          <w:sz w:val="24"/>
        </w:rPr>
        <w:t>适用于学校各二级学院（中心）所有涉及开展</w:t>
      </w:r>
      <w:r>
        <w:rPr>
          <w:rFonts w:hint="eastAsia" w:cs="Helvetica" w:asciiTheme="minorEastAsia" w:hAnsiTheme="minorEastAsia"/>
          <w:color w:val="000000"/>
          <w:kern w:val="0"/>
          <w:sz w:val="24"/>
        </w:rPr>
        <w:t>教学、科研和社会服务等活动</w:t>
      </w:r>
      <w:r>
        <w:rPr>
          <w:rFonts w:hint="eastAsia" w:asciiTheme="minorEastAsia" w:hAnsiTheme="minorEastAsia"/>
          <w:sz w:val="24"/>
          <w:szCs w:val="24"/>
        </w:rPr>
        <w:t>的实验、实训场所。校内其他合作单位参照执行。</w:t>
      </w:r>
    </w:p>
    <w:p>
      <w:pPr>
        <w:spacing w:line="560" w:lineRule="exact"/>
        <w:jc w:val="center"/>
        <w:rPr>
          <w:rFonts w:ascii="黑体" w:hAnsi="黑体" w:eastAsia="黑体"/>
          <w:b/>
          <w:sz w:val="32"/>
          <w:szCs w:val="32"/>
        </w:rPr>
      </w:pPr>
      <w:r>
        <w:rPr>
          <w:rFonts w:hint="eastAsia" w:ascii="黑体" w:hAnsi="黑体" w:eastAsia="黑体"/>
          <w:b/>
          <w:sz w:val="32"/>
          <w:szCs w:val="32"/>
        </w:rPr>
        <w:t>第二章  职责分工</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 xml:space="preserve">第四条 </w:t>
      </w:r>
      <w:r>
        <w:rPr>
          <w:rFonts w:hint="eastAsia" w:asciiTheme="minorEastAsia" w:hAnsiTheme="minorEastAsia"/>
          <w:sz w:val="24"/>
          <w:szCs w:val="24"/>
        </w:rPr>
        <w:t xml:space="preserve"> 学校实验室安全工作委员会全面指导实验室安全检查工作。实验室与资产管理处是学校实验室安全检查管理工作的职能部门，负责学校层面实验室安全检查工作的组织与开展，重点对学校实验室的危险化学品管理使用及其他安全隐患开展专项检查，指导、监督、协调各二级学院（中心）做好实验室安全检查和隐患整改工作。</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 xml:space="preserve">第五条  </w:t>
      </w:r>
      <w:r>
        <w:rPr>
          <w:rFonts w:hint="eastAsia" w:asciiTheme="minorEastAsia" w:hAnsiTheme="minorEastAsia"/>
          <w:sz w:val="24"/>
          <w:szCs w:val="24"/>
        </w:rPr>
        <w:t>各二级学院（中心）是开展落实本部门实验室日常安全检查管理工作的主体责任单位，实验室是做好实验室安全检查工作的具体实施单位。各二级学院（中心）分管实验室工作的领导对实验室安全检查工作负主要领导责任，实验室主任和实验室安全责任人负直接责任。</w:t>
      </w:r>
    </w:p>
    <w:p>
      <w:pPr>
        <w:spacing w:line="560" w:lineRule="exact"/>
        <w:jc w:val="center"/>
        <w:rPr>
          <w:rFonts w:ascii="黑体" w:hAnsi="黑体" w:eastAsia="黑体"/>
          <w:b/>
          <w:sz w:val="32"/>
          <w:szCs w:val="32"/>
        </w:rPr>
      </w:pPr>
      <w:r>
        <w:rPr>
          <w:rFonts w:hint="eastAsia" w:ascii="黑体" w:hAnsi="黑体" w:eastAsia="黑体"/>
          <w:b/>
          <w:sz w:val="32"/>
          <w:szCs w:val="32"/>
        </w:rPr>
        <w:t>第三章</w:t>
      </w:r>
      <w:r>
        <w:rPr>
          <w:rFonts w:ascii="黑体" w:hAnsi="黑体" w:eastAsia="黑体"/>
          <w:b/>
          <w:sz w:val="32"/>
          <w:szCs w:val="32"/>
        </w:rPr>
        <w:t xml:space="preserve">  </w:t>
      </w:r>
      <w:r>
        <w:rPr>
          <w:rFonts w:hint="eastAsia" w:ascii="黑体" w:hAnsi="黑体" w:eastAsia="黑体"/>
          <w:b/>
          <w:sz w:val="32"/>
          <w:szCs w:val="32"/>
        </w:rPr>
        <w:t>内容与要求</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 xml:space="preserve">第六条  </w:t>
      </w:r>
      <w:r>
        <w:rPr>
          <w:rFonts w:hint="eastAsia" w:asciiTheme="minorEastAsia" w:hAnsiTheme="minorEastAsia"/>
          <w:sz w:val="24"/>
          <w:szCs w:val="24"/>
        </w:rPr>
        <w:t>各实验室应按照教育部最新发布的《高等学校实验室安全检查表》所列项目，进行逐一对表对标检查，并对存在的隐患问题及时加以整改落实。实验室安全检查主要包括以下重点内容：</w:t>
      </w:r>
    </w:p>
    <w:p>
      <w:pPr>
        <w:spacing w:line="560" w:lineRule="exact"/>
        <w:ind w:firstLine="420"/>
        <w:rPr>
          <w:rFonts w:asciiTheme="minorEastAsia" w:hAnsiTheme="minorEastAsia"/>
          <w:sz w:val="24"/>
          <w:szCs w:val="24"/>
        </w:rPr>
      </w:pPr>
      <w:r>
        <w:rPr>
          <w:rFonts w:hint="eastAsia" w:asciiTheme="minorEastAsia" w:hAnsiTheme="minorEastAsia"/>
          <w:sz w:val="24"/>
          <w:szCs w:val="24"/>
        </w:rPr>
        <w:t>（一）实验室准入制度与项目安全评估审核制度；</w:t>
      </w:r>
    </w:p>
    <w:p>
      <w:pPr>
        <w:spacing w:line="560" w:lineRule="exact"/>
        <w:ind w:firstLine="420"/>
        <w:rPr>
          <w:rFonts w:asciiTheme="minorEastAsia" w:hAnsiTheme="minorEastAsia"/>
          <w:sz w:val="24"/>
          <w:szCs w:val="24"/>
        </w:rPr>
      </w:pPr>
      <w:r>
        <w:rPr>
          <w:rFonts w:hint="eastAsia" w:asciiTheme="minorEastAsia" w:hAnsiTheme="minorEastAsia"/>
          <w:sz w:val="24"/>
          <w:szCs w:val="24"/>
        </w:rPr>
        <w:t>（二）实验室各项规章制度和实验操作规程；</w:t>
      </w:r>
    </w:p>
    <w:p>
      <w:pPr>
        <w:spacing w:line="560" w:lineRule="exact"/>
        <w:ind w:firstLine="360" w:firstLineChars="150"/>
        <w:rPr>
          <w:rFonts w:asciiTheme="minorEastAsia" w:hAnsiTheme="minorEastAsia"/>
          <w:sz w:val="24"/>
          <w:szCs w:val="24"/>
        </w:rPr>
      </w:pPr>
      <w:r>
        <w:rPr>
          <w:rFonts w:hint="eastAsia" w:asciiTheme="minorEastAsia" w:hAnsiTheme="minorEastAsia"/>
          <w:sz w:val="24"/>
          <w:szCs w:val="24"/>
        </w:rPr>
        <w:t>（三）水、电、气、防火、防盗等安全情况；</w:t>
      </w:r>
    </w:p>
    <w:p>
      <w:pPr>
        <w:spacing w:line="560" w:lineRule="exact"/>
        <w:ind w:firstLine="360" w:firstLineChars="150"/>
        <w:rPr>
          <w:rFonts w:asciiTheme="minorEastAsia" w:hAnsiTheme="minorEastAsia"/>
          <w:sz w:val="24"/>
          <w:szCs w:val="24"/>
        </w:rPr>
      </w:pPr>
      <w:r>
        <w:rPr>
          <w:rFonts w:hint="eastAsia" w:asciiTheme="minorEastAsia" w:hAnsiTheme="minorEastAsia"/>
          <w:sz w:val="24"/>
          <w:szCs w:val="24"/>
        </w:rPr>
        <w:t>（四）特种设备及大型（精密）仪器设备的操作规范情况；</w:t>
      </w:r>
    </w:p>
    <w:p>
      <w:pPr>
        <w:spacing w:line="560" w:lineRule="exact"/>
        <w:ind w:firstLine="360" w:firstLineChars="150"/>
        <w:rPr>
          <w:rFonts w:asciiTheme="minorEastAsia" w:hAnsiTheme="minorEastAsia"/>
          <w:sz w:val="24"/>
          <w:szCs w:val="24"/>
        </w:rPr>
      </w:pPr>
      <w:r>
        <w:rPr>
          <w:rFonts w:hint="eastAsia" w:asciiTheme="minorEastAsia" w:hAnsiTheme="minorEastAsia"/>
          <w:sz w:val="24"/>
          <w:szCs w:val="24"/>
        </w:rPr>
        <w:t>（五）各种剧毒、易制毒及爆炸品等危险化学品的“五双”管理、废弃物规范处置情况；</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第七条</w:t>
      </w:r>
      <w:r>
        <w:rPr>
          <w:rFonts w:hint="eastAsia" w:asciiTheme="minorEastAsia" w:hAnsiTheme="minorEastAsia"/>
          <w:sz w:val="24"/>
          <w:szCs w:val="24"/>
        </w:rPr>
        <w:t xml:space="preserve">  学校针对安全重点所在的实验室，组织定期或不定期的安全专项检查，对检查中发现的实验室安全隐患进行排查及梳理，下达安全隐患通报或隐患整改通知书。各二级学院（中心）应对存在的隐患进行整改落实，提交安全隐患整改报告，学校对安全隐患整改结果进行验收。</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第八条</w:t>
      </w:r>
      <w:r>
        <w:rPr>
          <w:rFonts w:hint="eastAsia" w:asciiTheme="minorEastAsia" w:hAnsiTheme="minorEastAsia"/>
          <w:sz w:val="24"/>
          <w:szCs w:val="24"/>
        </w:rPr>
        <w:t xml:space="preserve">  各二级学院（中心）应对其所属的实验室开展每月不少于一次的安全日常检查，对检查中发现的实验室安全隐患进行排查及梳理，下达安全隐患通报或隐患整改通知书。各实验室负责人应对存在的安全隐患进行整改落实，由所在二级学院（中心）对整改结果进行验收，同时做好安全台账的记录、归档工作。</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第九条</w:t>
      </w:r>
      <w:r>
        <w:rPr>
          <w:rFonts w:hint="eastAsia" w:asciiTheme="minorEastAsia" w:hAnsiTheme="minorEastAsia"/>
          <w:sz w:val="24"/>
          <w:szCs w:val="24"/>
        </w:rPr>
        <w:t xml:space="preserve">  各实验室负责人应对其辖管的实验室进行每日一次的安全例行自查，并做好实验室使用前后的核查交接和安全记录工作。同时负责对安全隐患进行及时排查和整改，不能即时整改或整改后安全隐患尚未消除的，需及时上报部门负责人或实验室与资产管理处。</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 xml:space="preserve">第十条  </w:t>
      </w:r>
      <w:r>
        <w:rPr>
          <w:rFonts w:hint="eastAsia" w:asciiTheme="minorEastAsia" w:hAnsiTheme="minorEastAsia"/>
          <w:sz w:val="24"/>
          <w:szCs w:val="24"/>
        </w:rPr>
        <w:t xml:space="preserve">每次实验前，实验指导老师需对实验操作人员是否具有准入资格进行核对，同时应对实验内容、仪器设备的性能、操作规程进行等安全方面进行讲解，并作好必要的安全防护。 </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 xml:space="preserve">第十一条  </w:t>
      </w:r>
      <w:r>
        <w:rPr>
          <w:rFonts w:hint="eastAsia" w:asciiTheme="minorEastAsia" w:hAnsiTheme="minorEastAsia"/>
          <w:sz w:val="24"/>
          <w:szCs w:val="24"/>
        </w:rPr>
        <w:t>节假日、寒暑假期间，确因教学、科研等工作需要在实验室开展实验工作的，各二级学院（中心）应严格按照学校要求程序报批，同时落实好安全责任人和部门责任人，强化实验过程的安全管理，做好登记、管理、巡查等工作。</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 xml:space="preserve">第十二条  </w:t>
      </w:r>
      <w:r>
        <w:rPr>
          <w:rFonts w:hint="eastAsia" w:asciiTheme="minorEastAsia" w:hAnsiTheme="minorEastAsia"/>
          <w:sz w:val="24"/>
          <w:szCs w:val="24"/>
        </w:rPr>
        <w:t>各二级学院（中心）要树立“隐患即事故”安全理念，高度重视实验室安全检查工作，建立和完善部门实验室的安全检查制度，明确所属各实验室的安全责任人，确保安全工作真正落实到位。</w:t>
      </w:r>
    </w:p>
    <w:p>
      <w:pPr>
        <w:spacing w:line="560" w:lineRule="exact"/>
        <w:ind w:firstLine="480" w:firstLineChars="200"/>
        <w:rPr>
          <w:rFonts w:asciiTheme="minorEastAsia" w:hAnsiTheme="minorEastAsia"/>
          <w:sz w:val="24"/>
          <w:szCs w:val="24"/>
        </w:rPr>
      </w:pPr>
    </w:p>
    <w:p>
      <w:pPr>
        <w:spacing w:line="560" w:lineRule="exact"/>
        <w:jc w:val="center"/>
        <w:rPr>
          <w:rFonts w:ascii="黑体" w:hAnsi="黑体" w:eastAsia="黑体"/>
          <w:b/>
          <w:sz w:val="32"/>
          <w:szCs w:val="32"/>
        </w:rPr>
      </w:pPr>
      <w:r>
        <w:rPr>
          <w:rFonts w:hint="eastAsia" w:ascii="黑体" w:hAnsi="黑体" w:eastAsia="黑体"/>
          <w:b/>
          <w:sz w:val="32"/>
          <w:szCs w:val="32"/>
        </w:rPr>
        <w:t>第四章</w:t>
      </w:r>
      <w:r>
        <w:rPr>
          <w:rFonts w:ascii="黑体" w:hAnsi="黑体" w:eastAsia="黑体"/>
          <w:b/>
          <w:sz w:val="32"/>
          <w:szCs w:val="32"/>
        </w:rPr>
        <w:t xml:space="preserve">  </w:t>
      </w:r>
      <w:r>
        <w:rPr>
          <w:rFonts w:hint="eastAsia" w:ascii="黑体" w:hAnsi="黑体" w:eastAsia="黑体"/>
          <w:b/>
          <w:sz w:val="32"/>
          <w:szCs w:val="32"/>
        </w:rPr>
        <w:t>附  则</w:t>
      </w:r>
    </w:p>
    <w:p>
      <w:pPr>
        <w:spacing w:line="560" w:lineRule="exact"/>
        <w:ind w:firstLine="482" w:firstLineChars="200"/>
        <w:rPr>
          <w:rFonts w:asciiTheme="minorEastAsia" w:hAnsiTheme="minorEastAsia"/>
          <w:sz w:val="24"/>
          <w:szCs w:val="24"/>
        </w:rPr>
      </w:pPr>
      <w:r>
        <w:rPr>
          <w:rFonts w:hint="eastAsia" w:asciiTheme="minorEastAsia" w:hAnsiTheme="minorEastAsia"/>
          <w:b/>
          <w:sz w:val="24"/>
          <w:szCs w:val="24"/>
        </w:rPr>
        <w:t>第十三条</w:t>
      </w:r>
      <w:r>
        <w:rPr>
          <w:rFonts w:hint="eastAsia" w:asciiTheme="minorEastAsia" w:hAnsiTheme="minorEastAsia"/>
          <w:sz w:val="24"/>
          <w:szCs w:val="24"/>
        </w:rPr>
        <w:t xml:space="preserve">  对违反实验室安全有关管理规定，或未能履行相应职责等造成实验室安全差错或事故发生的单位及个人，将依据《衢州学院实验室安全责任追究暂行办法》（衢院〔2019〕30号）追究其相应责任。</w:t>
      </w:r>
    </w:p>
    <w:p>
      <w:pPr>
        <w:widowControl/>
        <w:spacing w:before="100" w:beforeAutospacing="1" w:after="100" w:afterAutospacing="1" w:line="560" w:lineRule="exact"/>
        <w:ind w:firstLine="482" w:firstLineChars="200"/>
        <w:contextualSpacing/>
        <w:jc w:val="left"/>
        <w:rPr>
          <w:rFonts w:cs="Helvetica" w:asciiTheme="minorEastAsia" w:hAnsiTheme="minorEastAsia"/>
          <w:bCs/>
          <w:color w:val="000000"/>
          <w:kern w:val="0"/>
          <w:sz w:val="24"/>
        </w:rPr>
      </w:pPr>
      <w:r>
        <w:rPr>
          <w:rFonts w:cs="Helvetica" w:asciiTheme="minorEastAsia" w:hAnsiTheme="minorEastAsia"/>
          <w:b/>
          <w:bCs/>
          <w:color w:val="000000"/>
          <w:kern w:val="0"/>
          <w:sz w:val="24"/>
        </w:rPr>
        <w:t>第</w:t>
      </w:r>
      <w:r>
        <w:rPr>
          <w:rFonts w:hint="eastAsia" w:cs="Helvetica" w:asciiTheme="minorEastAsia" w:hAnsiTheme="minorEastAsia"/>
          <w:b/>
          <w:bCs/>
          <w:color w:val="000000"/>
          <w:kern w:val="0"/>
          <w:sz w:val="24"/>
        </w:rPr>
        <w:t>十四</w:t>
      </w:r>
      <w:r>
        <w:rPr>
          <w:rFonts w:cs="Helvetica" w:asciiTheme="minorEastAsia" w:hAnsiTheme="minorEastAsia"/>
          <w:b/>
          <w:bCs/>
          <w:color w:val="000000"/>
          <w:kern w:val="0"/>
          <w:sz w:val="24"/>
        </w:rPr>
        <w:t>条</w:t>
      </w:r>
      <w:r>
        <w:rPr>
          <w:rFonts w:hint="eastAsia" w:cs="Helvetica" w:asciiTheme="minorEastAsia" w:hAnsiTheme="minorEastAsia"/>
          <w:b/>
          <w:bCs/>
          <w:color w:val="000000"/>
          <w:kern w:val="0"/>
          <w:sz w:val="24"/>
        </w:rPr>
        <w:t xml:space="preserve">  </w:t>
      </w:r>
      <w:r>
        <w:rPr>
          <w:rFonts w:hint="eastAsia" w:cs="Helvetica" w:asciiTheme="minorEastAsia" w:hAnsiTheme="minorEastAsia"/>
          <w:bCs/>
          <w:color w:val="000000"/>
          <w:kern w:val="0"/>
          <w:sz w:val="24"/>
        </w:rPr>
        <w:t>本办法自发布之日起施行，由实验室与资产管理处负责解释。</w:t>
      </w:r>
    </w:p>
    <w:p>
      <w:pPr>
        <w:spacing w:line="560" w:lineRule="exact"/>
        <w:rPr>
          <w:rFonts w:asciiTheme="minorEastAsia" w:hAnsiTheme="minorEastAsia"/>
        </w:rPr>
      </w:pPr>
    </w:p>
    <w:p>
      <w:pPr>
        <w:spacing w:line="560" w:lineRule="exact"/>
        <w:rPr>
          <w:rFonts w:asciiTheme="minorEastAsia" w:hAnsiTheme="minorEastAsia"/>
        </w:rPr>
      </w:pPr>
    </w:p>
    <w:p>
      <w:pPr>
        <w:spacing w:line="560" w:lineRule="exact"/>
        <w:rPr>
          <w:rFonts w:asciiTheme="minorEastAsia" w:hAnsiTheme="minorEastAsia"/>
        </w:rPr>
      </w:pPr>
    </w:p>
    <w:p>
      <w:pPr>
        <w:spacing w:line="560" w:lineRule="exact"/>
        <w:rPr>
          <w:rFonts w:asciiTheme="minorEastAsia" w:hAnsiTheme="minorEastAsia"/>
        </w:rPr>
      </w:pPr>
    </w:p>
    <w:p>
      <w:pPr>
        <w:spacing w:line="560" w:lineRule="exact"/>
        <w:ind w:firstLine="480" w:firstLineChars="200"/>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rPr>
        <w:t>附件:  衢州学院实验室安全检查流程图</w:t>
      </w:r>
    </w:p>
    <w:p>
      <w:pPr>
        <w:rPr>
          <w:rFonts w:asciiTheme="majorEastAsia" w:hAnsiTheme="majorEastAsia" w:eastAsiaTheme="majorEastAsia"/>
        </w:rPr>
      </w:pPr>
      <w:r>
        <w:rPr>
          <w:rFonts w:hint="eastAsia" w:asciiTheme="majorEastAsia" w:hAnsiTheme="majorEastAsia" w:eastAsiaTheme="majorEastAsia"/>
        </w:rPr>
        <w:t>附件:</w:t>
      </w:r>
    </w:p>
    <w:p>
      <w:pPr>
        <w:jc w:val="center"/>
        <w:rPr>
          <w:b/>
          <w:sz w:val="40"/>
          <w:szCs w:val="44"/>
        </w:rPr>
      </w:pPr>
      <w:r>
        <w:rPr>
          <w:rFonts w:hint="eastAsia"/>
          <w:b/>
          <w:sz w:val="40"/>
          <w:szCs w:val="44"/>
        </w:rPr>
        <w:t>衢州学院实验室安全检查流程图</w:t>
      </w:r>
    </w:p>
    <w:p/>
    <w:p>
      <w:pPr>
        <w:jc w:val="center"/>
      </w:pPr>
      <w:r>
        <w:object>
          <v:shape id="_x0000_i1025" o:spt="75" type="#_x0000_t75" style="height:508.25pt;width:416.85pt;" o:ole="t" filled="f" o:preferrelative="t" stroked="f" coordsize="21600,21600">
            <v:path/>
            <v:fill on="f" focussize="0,0"/>
            <v:stroke on="f" joinstyle="miter"/>
            <v:imagedata r:id="rId16" o:title=""/>
            <o:lock v:ext="edit" aspectratio="t"/>
            <w10:wrap type="none"/>
            <w10:anchorlock/>
          </v:shape>
          <o:OLEObject Type="Embed" ProgID="Visio.Drawing.11" ShapeID="_x0000_i1025" DrawAspect="Content" ObjectID="_1468075725" r:id="rId15">
            <o:LockedField>false</o:LockedField>
          </o:OLEObject>
        </w:object>
      </w:r>
    </w:p>
    <w:p>
      <w:pPr>
        <w:pStyle w:val="2"/>
      </w:pPr>
      <w:bookmarkStart w:id="70" w:name="_Toc46402439"/>
      <w:r>
        <w:rPr>
          <w:rFonts w:hint="eastAsia"/>
        </w:rPr>
        <w:t>衢州学院实验室安全责任追究暂行办法</w:t>
      </w:r>
      <w:bookmarkEnd w:id="70"/>
    </w:p>
    <w:p>
      <w:pPr>
        <w:widowControl/>
        <w:spacing w:line="440" w:lineRule="exact"/>
        <w:ind w:firstLine="643" w:firstLineChars="200"/>
        <w:jc w:val="center"/>
        <w:rPr>
          <w:rFonts w:ascii="黑体" w:hAnsi="黑体" w:eastAsia="黑体"/>
          <w:color w:val="000000"/>
          <w:kern w:val="0"/>
          <w:sz w:val="32"/>
          <w:szCs w:val="32"/>
        </w:rPr>
      </w:pPr>
      <w:r>
        <w:rPr>
          <w:rFonts w:hint="eastAsia" w:ascii="黑体" w:hAnsi="黑体" w:eastAsia="黑体"/>
          <w:b/>
          <w:bCs/>
          <w:color w:val="000000"/>
          <w:kern w:val="0"/>
          <w:sz w:val="32"/>
          <w:szCs w:val="32"/>
        </w:rPr>
        <w:t>第一章　总则</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第一条</w:t>
      </w:r>
      <w:r>
        <w:rPr>
          <w:rFonts w:hint="eastAsia" w:ascii="宋体" w:hAnsi="宋体"/>
          <w:color w:val="000000"/>
          <w:kern w:val="0"/>
          <w:sz w:val="24"/>
          <w:szCs w:val="24"/>
        </w:rPr>
        <w:t>　为进一步加强学校实验室安全管理，有效预防实验室安全事故的发生，保障</w:t>
      </w:r>
      <w:r>
        <w:rPr>
          <w:rFonts w:hint="eastAsia" w:ascii="宋体" w:hAnsi="宋体"/>
          <w:color w:val="000000" w:themeColor="text1"/>
          <w:kern w:val="0"/>
          <w:sz w:val="24"/>
          <w:szCs w:val="24"/>
          <w14:textFill>
            <w14:solidFill>
              <w14:schemeClr w14:val="tx1"/>
            </w14:solidFill>
          </w14:textFill>
        </w:rPr>
        <w:t>师生员工</w:t>
      </w:r>
      <w:r>
        <w:rPr>
          <w:rFonts w:hint="eastAsia" w:ascii="宋体" w:hAnsi="宋体"/>
          <w:color w:val="000000"/>
          <w:kern w:val="0"/>
          <w:sz w:val="24"/>
          <w:szCs w:val="24"/>
        </w:rPr>
        <w:t>的人身、财产安全，促进学校清廉建设和各项事业健康稳定发展，依据</w:t>
      </w:r>
      <w:r>
        <w:rPr>
          <w:rFonts w:hint="eastAsia"/>
          <w:sz w:val="24"/>
          <w:szCs w:val="24"/>
        </w:rPr>
        <w:t>国家有关法律法规</w:t>
      </w:r>
      <w:r>
        <w:rPr>
          <w:rFonts w:hint="eastAsia" w:ascii="宋体" w:hAnsi="宋体"/>
          <w:color w:val="000000"/>
          <w:kern w:val="0"/>
          <w:sz w:val="24"/>
          <w:szCs w:val="24"/>
        </w:rPr>
        <w:t>和《衢州学院实验室安全管理办法》（衢院设[2016]3号）等文件精神，特制定本办法。</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第二条</w:t>
      </w:r>
      <w:r>
        <w:rPr>
          <w:rFonts w:hint="eastAsia" w:ascii="宋体" w:hAnsi="宋体"/>
          <w:color w:val="000000"/>
          <w:kern w:val="0"/>
          <w:sz w:val="24"/>
          <w:szCs w:val="24"/>
        </w:rPr>
        <w:t>　学校实验室安全工作贯彻“以人为本、安全第一、预防为主、综合治理”的方针，坚持“谁主管、谁负责，谁使用、谁负责”的原则，逐级建立实验室安全责任体系，明确各级、各实验室安全责任人及其工作职责，履行实验室安全工作职责。</w:t>
      </w:r>
    </w:p>
    <w:p>
      <w:pPr>
        <w:widowControl/>
        <w:spacing w:line="440" w:lineRule="exact"/>
        <w:ind w:firstLine="482" w:firstLineChars="200"/>
        <w:jc w:val="left"/>
        <w:rPr>
          <w:rFonts w:ascii="宋体" w:hAnsi="宋体"/>
          <w:color w:val="FF0000"/>
          <w:kern w:val="0"/>
          <w:sz w:val="24"/>
          <w:szCs w:val="24"/>
        </w:rPr>
      </w:pPr>
      <w:r>
        <w:rPr>
          <w:rFonts w:hint="eastAsia" w:ascii="宋体" w:hAnsi="宋体"/>
          <w:b/>
          <w:color w:val="000000"/>
          <w:kern w:val="0"/>
          <w:sz w:val="24"/>
          <w:szCs w:val="24"/>
        </w:rPr>
        <w:t>第三条</w:t>
      </w:r>
      <w:r>
        <w:rPr>
          <w:rFonts w:hint="eastAsia" w:ascii="宋体" w:hAnsi="宋体"/>
          <w:color w:val="000000"/>
          <w:kern w:val="0"/>
          <w:sz w:val="24"/>
          <w:szCs w:val="24"/>
        </w:rPr>
        <w:t xml:space="preserve">  对违反实验室安全有关管理规定或未能履行相应职责等造成实验室安全差错或事故的单位（部门）及个人，依据本办法追究其相应责任。</w:t>
      </w:r>
    </w:p>
    <w:p>
      <w:pPr>
        <w:widowControl/>
        <w:spacing w:line="440" w:lineRule="exact"/>
        <w:ind w:firstLine="643" w:firstLineChars="200"/>
        <w:jc w:val="center"/>
        <w:rPr>
          <w:rFonts w:ascii="黑体" w:hAnsi="黑体" w:eastAsia="黑体"/>
          <w:b/>
          <w:bCs/>
          <w:color w:val="000000"/>
          <w:kern w:val="0"/>
          <w:sz w:val="32"/>
          <w:szCs w:val="32"/>
        </w:rPr>
      </w:pPr>
      <w:r>
        <w:rPr>
          <w:rFonts w:hint="eastAsia" w:ascii="黑体" w:hAnsi="黑体" w:eastAsia="黑体"/>
          <w:b/>
          <w:bCs/>
          <w:color w:val="000000"/>
          <w:kern w:val="0"/>
          <w:sz w:val="32"/>
          <w:szCs w:val="32"/>
        </w:rPr>
        <w:t>第二章　责任追究种类与对象</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第四条</w:t>
      </w:r>
      <w:r>
        <w:rPr>
          <w:rFonts w:hint="eastAsia" w:ascii="宋体" w:hAnsi="宋体"/>
          <w:color w:val="000000"/>
          <w:kern w:val="0"/>
          <w:sz w:val="24"/>
          <w:szCs w:val="24"/>
        </w:rPr>
        <w:t xml:space="preserve">  实验室安全工作责任追究种类</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（一）书面检查；</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（二）通报批评；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（三）诫勉谈话；</w:t>
      </w:r>
      <w:r>
        <w:rPr>
          <w:rFonts w:ascii="宋体" w:hAnsi="宋体"/>
          <w:color w:val="000000"/>
          <w:kern w:val="0"/>
          <w:sz w:val="24"/>
          <w:szCs w:val="24"/>
        </w:rPr>
        <w:t xml:space="preserve"> </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（四）取消评优评奖、升职升级资格；</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（五）责令经济赔偿；</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（六）行政处分（警告、记过、降级、撤职、开除）；</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（七）移送司法机关。</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以上责任追究的种类可以单独使用，也可以合并使用。需要给予党纪处分的按照有关规定执行。</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第五条</w:t>
      </w:r>
      <w:r>
        <w:rPr>
          <w:rFonts w:hint="eastAsia" w:ascii="宋体" w:hAnsi="宋体"/>
          <w:color w:val="000000"/>
          <w:kern w:val="0"/>
          <w:sz w:val="24"/>
          <w:szCs w:val="24"/>
        </w:rPr>
        <w:t xml:space="preserve">  实验室安全工作责任追究对象</w:t>
      </w:r>
    </w:p>
    <w:p>
      <w:pPr>
        <w:widowControl/>
        <w:spacing w:line="440" w:lineRule="exact"/>
        <w:jc w:val="left"/>
        <w:rPr>
          <w:rFonts w:ascii="宋体" w:hAnsi="宋体"/>
          <w:color w:val="000000"/>
          <w:kern w:val="0"/>
          <w:sz w:val="24"/>
          <w:szCs w:val="24"/>
        </w:rPr>
      </w:pPr>
      <w:r>
        <w:rPr>
          <w:rFonts w:hint="eastAsia" w:ascii="宋体" w:hAnsi="宋体"/>
          <w:color w:val="000000"/>
          <w:kern w:val="0"/>
          <w:sz w:val="24"/>
          <w:szCs w:val="24"/>
        </w:rPr>
        <w:t xml:space="preserve">    （一）相关人员</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1.直接责任人；</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2.实验室（研究所）负责人、实验室管理员、研究生导师、实验指导老师、教科研项目负责人；</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3.二级教学科研单位第一负责人、二级教学科研单位第一负责人根据工作需要指定的实验室安全分管领导；</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4.职能部门负责人和管理人员；</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5.校级责任领导。</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（二）相关单位</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1.发生事故的二级教学科研单位；</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2.负有监管不力、失职渎职等责任的职能部门。</w:t>
      </w:r>
    </w:p>
    <w:p>
      <w:pPr>
        <w:widowControl/>
        <w:spacing w:line="440" w:lineRule="exact"/>
        <w:ind w:firstLine="482"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第六条</w:t>
      </w:r>
      <w:r>
        <w:rPr>
          <w:rFonts w:hint="eastAsia" w:ascii="宋体" w:hAnsi="宋体"/>
          <w:color w:val="000000" w:themeColor="text1"/>
          <w:kern w:val="0"/>
          <w:sz w:val="24"/>
          <w:szCs w:val="24"/>
          <w14:textFill>
            <w14:solidFill>
              <w14:schemeClr w14:val="tx1"/>
            </w14:solidFill>
          </w14:textFill>
        </w:rPr>
        <w:t xml:space="preserve">  实验室安全事故分级</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（一）重大实验室安全事故（Ⅰ级）：直接经济损失二十万元以上（含）或造成人员死亡、重伤的安全事故。</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（二）严重实验室安全事故（Ⅱ级）：直接经济损失五万元以上（含）至二十万元以下或造成人员轻伤的安全事故。</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（三）较大实验室安全事故（Ⅲ级）：直接经济损失二万元以上（含）至五万元以下且未造成人员伤亡的安全事故。</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（四）一般实验室安全事故（Ⅳ级）：直接经济损失二万元以下且未造成人员伤亡的安全事故。</w:t>
      </w:r>
    </w:p>
    <w:p>
      <w:pPr>
        <w:widowControl/>
        <w:spacing w:line="440" w:lineRule="exact"/>
        <w:ind w:firstLine="643" w:firstLineChars="200"/>
        <w:jc w:val="cente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b/>
          <w:bCs/>
          <w:color w:val="000000"/>
          <w:kern w:val="0"/>
          <w:sz w:val="32"/>
          <w:szCs w:val="32"/>
        </w:rPr>
        <w:t>第三章  人员责任追究</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themeColor="text1"/>
          <w:kern w:val="0"/>
          <w:sz w:val="24"/>
          <w:szCs w:val="24"/>
          <w14:textFill>
            <w14:solidFill>
              <w14:schemeClr w14:val="tx1"/>
            </w14:solidFill>
          </w14:textFill>
        </w:rPr>
        <w:t>第七条</w:t>
      </w:r>
      <w:r>
        <w:rPr>
          <w:rFonts w:hint="eastAsia" w:ascii="宋体" w:hAnsi="宋体"/>
          <w:color w:val="000000" w:themeColor="text1"/>
          <w:kern w:val="0"/>
          <w:sz w:val="24"/>
          <w:szCs w:val="24"/>
          <w14:textFill>
            <w14:solidFill>
              <w14:schemeClr w14:val="tx1"/>
            </w14:solidFill>
          </w14:textFill>
        </w:rPr>
        <w:t xml:space="preserve">  </w:t>
      </w:r>
      <w:r>
        <w:rPr>
          <w:rFonts w:hint="eastAsia" w:ascii="宋体" w:hAnsi="宋体"/>
          <w:color w:val="000000"/>
          <w:kern w:val="0"/>
          <w:sz w:val="24"/>
          <w:szCs w:val="24"/>
        </w:rPr>
        <w:t>二级教学科研单位的相关人员有以下行为之一且未造成</w:t>
      </w:r>
      <w:r>
        <w:rPr>
          <w:rFonts w:hint="eastAsia" w:ascii="宋体" w:hAnsi="宋体"/>
          <w:color w:val="000000" w:themeColor="text1"/>
          <w:kern w:val="0"/>
          <w:sz w:val="24"/>
          <w:szCs w:val="24"/>
          <w14:textFill>
            <w14:solidFill>
              <w14:schemeClr w14:val="tx1"/>
            </w14:solidFill>
          </w14:textFill>
        </w:rPr>
        <w:t>实验室安全事故发生</w:t>
      </w:r>
      <w:r>
        <w:rPr>
          <w:rFonts w:hint="eastAsia" w:ascii="宋体" w:hAnsi="宋体"/>
          <w:color w:val="000000"/>
          <w:kern w:val="0"/>
          <w:sz w:val="24"/>
          <w:szCs w:val="24"/>
        </w:rPr>
        <w:t>的，视职责履行情况和情节轻重，按以下分类追究实验室安全责任：</w:t>
      </w:r>
    </w:p>
    <w:tbl>
      <w:tblPr>
        <w:tblStyle w:val="1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pPr>
              <w:widowControl/>
              <w:spacing w:line="360" w:lineRule="auto"/>
              <w:jc w:val="center"/>
              <w:rPr>
                <w:rFonts w:ascii="宋体" w:hAnsi="宋体"/>
                <w:color w:val="000000"/>
                <w:kern w:val="0"/>
                <w:sz w:val="18"/>
                <w:szCs w:val="18"/>
              </w:rPr>
            </w:pPr>
            <w:r>
              <w:rPr>
                <w:rFonts w:hint="eastAsia" w:ascii="宋体" w:hAnsi="宋体"/>
                <w:color w:val="000000"/>
                <w:kern w:val="0"/>
                <w:sz w:val="18"/>
                <w:szCs w:val="18"/>
              </w:rPr>
              <w:t>责任追究对象</w:t>
            </w:r>
          </w:p>
        </w:tc>
        <w:tc>
          <w:tcPr>
            <w:tcW w:w="2694" w:type="dxa"/>
          </w:tcPr>
          <w:p>
            <w:pPr>
              <w:widowControl/>
              <w:spacing w:line="360" w:lineRule="auto"/>
              <w:jc w:val="center"/>
              <w:rPr>
                <w:rFonts w:ascii="宋体" w:hAnsi="宋体"/>
                <w:color w:val="000000"/>
                <w:kern w:val="0"/>
                <w:sz w:val="18"/>
                <w:szCs w:val="18"/>
              </w:rPr>
            </w:pPr>
            <w:r>
              <w:rPr>
                <w:rFonts w:hint="eastAsia" w:ascii="宋体" w:hAnsi="宋体"/>
                <w:color w:val="000000"/>
                <w:kern w:val="0"/>
                <w:sz w:val="18"/>
                <w:szCs w:val="18"/>
              </w:rPr>
              <w:t>责任追究种类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直接责任人</w:t>
            </w:r>
          </w:p>
        </w:tc>
        <w:tc>
          <w:tcPr>
            <w:tcW w:w="2694"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实验室（研究所）负责人</w:t>
            </w:r>
          </w:p>
        </w:tc>
        <w:tc>
          <w:tcPr>
            <w:tcW w:w="2694"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书面检查、通报批评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实验室管理员、研究生导师、实验指导老师、教科研项目负责人</w:t>
            </w:r>
          </w:p>
        </w:tc>
        <w:tc>
          <w:tcPr>
            <w:tcW w:w="2694"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书面检查、通报批评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二级教学科研单位第一负责人</w:t>
            </w:r>
          </w:p>
        </w:tc>
        <w:tc>
          <w:tcPr>
            <w:tcW w:w="2694"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书面检查、通报批评、诫勉谈话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二级教学科研单位分管实验室安全的领导</w:t>
            </w:r>
          </w:p>
        </w:tc>
        <w:tc>
          <w:tcPr>
            <w:tcW w:w="2694" w:type="dxa"/>
          </w:tcPr>
          <w:p>
            <w:pPr>
              <w:widowControl/>
              <w:spacing w:line="360" w:lineRule="auto"/>
              <w:jc w:val="left"/>
              <w:rPr>
                <w:rFonts w:ascii="宋体" w:hAnsi="宋体"/>
                <w:color w:val="000000"/>
                <w:kern w:val="0"/>
                <w:sz w:val="18"/>
                <w:szCs w:val="18"/>
              </w:rPr>
            </w:pPr>
            <w:r>
              <w:rPr>
                <w:rFonts w:hint="eastAsia" w:ascii="宋体" w:hAnsi="宋体"/>
                <w:color w:val="000000"/>
                <w:kern w:val="0"/>
                <w:sz w:val="18"/>
                <w:szCs w:val="18"/>
              </w:rPr>
              <w:t>书面检查、通报批评、诫勉谈话</w:t>
            </w:r>
          </w:p>
        </w:tc>
      </w:tr>
    </w:tbl>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（一）违反或指使、强令他人违反国家法律法规、学校和本单位实验室安全管理规定，冒险作业的；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(二)未履行安全职责，或发现安全隐患未及时采取整改措施并上报，或接到相关报告后未采取有效措施的，或未经许可擅自启用被封实验室的；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(三)发生造成财产损失或人身伤害的实验室安全事故后隐瞒不报，或不如实反映事故情况，或未及时将事故报告上级领导和有关职能部门的； </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(四)不服从、不配合政府部门、学校职能部门、本单位有关实验室日常安全管理和检查的；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(五)未进行实验室安全设施、特种设备进行定期检修和维护的；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(六)未根据政府部门、学校职能部门、本单位的要求及时排查、消除安全隐患的，或未组织、督促、协助消除安全隐患的；</w:t>
      </w:r>
    </w:p>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（七）未开展实验室安全教育培训和严格落实实验室安全准入制度的；</w:t>
      </w:r>
    </w:p>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（八）实验室未配备必要安全警示标识、安全防护设施及设备的；</w:t>
      </w:r>
    </w:p>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（九）未按规定对仪器设备进行保养、维护维修，导致仪器设备带病运行而提前报废的；</w:t>
      </w:r>
    </w:p>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（十）未严格执行危险化学品和和易制毒化学品管理规定的。</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themeColor="text1"/>
          <w:kern w:val="0"/>
          <w:sz w:val="24"/>
          <w:szCs w:val="24"/>
          <w14:textFill>
            <w14:solidFill>
              <w14:schemeClr w14:val="tx1"/>
            </w14:solidFill>
          </w14:textFill>
        </w:rPr>
        <w:t>第八条</w:t>
      </w:r>
      <w:r>
        <w:rPr>
          <w:rFonts w:hint="eastAsia" w:ascii="宋体" w:hAnsi="宋体"/>
          <w:color w:val="000000" w:themeColor="text1"/>
          <w:kern w:val="0"/>
          <w:sz w:val="24"/>
          <w:szCs w:val="24"/>
          <w14:textFill>
            <w14:solidFill>
              <w14:schemeClr w14:val="tx1"/>
            </w14:solidFill>
          </w14:textFill>
        </w:rPr>
        <w:t xml:space="preserve">  </w:t>
      </w:r>
      <w:r>
        <w:rPr>
          <w:rFonts w:hint="eastAsia" w:ascii="宋体" w:hAnsi="宋体"/>
          <w:color w:val="000000"/>
          <w:kern w:val="0"/>
          <w:sz w:val="24"/>
          <w:szCs w:val="24"/>
        </w:rPr>
        <w:t>二级教学科研单位的相关人员有以下行为之一且造成</w:t>
      </w:r>
      <w:r>
        <w:rPr>
          <w:rFonts w:hint="eastAsia" w:ascii="宋体" w:hAnsi="宋体"/>
          <w:color w:val="000000" w:themeColor="text1"/>
          <w:kern w:val="0"/>
          <w:sz w:val="24"/>
          <w:szCs w:val="24"/>
          <w14:textFill>
            <w14:solidFill>
              <w14:schemeClr w14:val="tx1"/>
            </w14:solidFill>
          </w14:textFill>
        </w:rPr>
        <w:t>Ⅰ至Ⅳ级实验室安全事故发生</w:t>
      </w:r>
      <w:r>
        <w:rPr>
          <w:rFonts w:hint="eastAsia" w:ascii="宋体" w:hAnsi="宋体"/>
          <w:color w:val="000000"/>
          <w:kern w:val="0"/>
          <w:sz w:val="24"/>
          <w:szCs w:val="24"/>
        </w:rPr>
        <w:t>的，视职责履行情况和情节轻重，按以下分类追究实验室安全责任：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01"/>
        <w:gridCol w:w="1701"/>
        <w:gridCol w:w="170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809" w:type="dxa"/>
            <w:tcBorders>
              <w:tl2br w:val="single" w:color="auto" w:sz="4" w:space="0"/>
            </w:tcBorders>
          </w:tcPr>
          <w:p>
            <w:pPr>
              <w:widowControl/>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事故级别</w:t>
            </w:r>
          </w:p>
          <w:p>
            <w:pPr>
              <w:widowControl/>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责任追究</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themeColor="text1"/>
                <w:kern w:val="0"/>
                <w:szCs w:val="21"/>
                <w14:textFill>
                  <w14:solidFill>
                    <w14:schemeClr w14:val="tx1"/>
                  </w14:solidFill>
                </w14:textFill>
              </w:rPr>
              <w:t>Ⅰ级</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themeColor="text1"/>
                <w:kern w:val="0"/>
                <w:szCs w:val="21"/>
                <w14:textFill>
                  <w14:solidFill>
                    <w14:schemeClr w14:val="tx1"/>
                  </w14:solidFill>
                </w14:textFill>
              </w:rPr>
              <w:t>Ⅱ级</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themeColor="text1"/>
                <w:kern w:val="0"/>
                <w:szCs w:val="21"/>
                <w14:textFill>
                  <w14:solidFill>
                    <w14:schemeClr w14:val="tx1"/>
                  </w14:solidFill>
                </w14:textFill>
              </w:rPr>
              <w:t>Ⅲ级</w:t>
            </w:r>
          </w:p>
        </w:tc>
        <w:tc>
          <w:tcPr>
            <w:tcW w:w="1610" w:type="dxa"/>
            <w:vAlign w:val="center"/>
          </w:tcPr>
          <w:p>
            <w:pPr>
              <w:widowControl/>
              <w:spacing w:line="360" w:lineRule="auto"/>
              <w:jc w:val="center"/>
              <w:rPr>
                <w:rFonts w:ascii="宋体" w:hAnsi="宋体"/>
                <w:color w:val="000000"/>
                <w:kern w:val="0"/>
                <w:szCs w:val="21"/>
              </w:rPr>
            </w:pPr>
            <w:r>
              <w:rPr>
                <w:rFonts w:hint="eastAsia" w:ascii="宋体" w:hAnsi="宋体"/>
                <w:color w:val="000000" w:themeColor="text1"/>
                <w:kern w:val="0"/>
                <w:szCs w:val="21"/>
                <w14:textFill>
                  <w14:solidFill>
                    <w14:schemeClr w14:val="tx1"/>
                  </w14:solidFill>
                </w14:textFill>
              </w:rPr>
              <w:t>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9"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直接责任人</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记过、降级、撤职、开除，同时取消其三年内各类评奖评优、升职升级资格</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记过、降级、撤职，同时取消其二年内各类评奖评优、升职升级资格</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警告、记过、降级，同时取消其一年内各类评奖评优、升职升级资格</w:t>
            </w:r>
          </w:p>
        </w:tc>
        <w:tc>
          <w:tcPr>
            <w:tcW w:w="1610"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警告、记过，同时取消其一年内各类评奖评优资格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9"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实验室（研究所）负责人</w:t>
            </w:r>
          </w:p>
        </w:tc>
        <w:tc>
          <w:tcPr>
            <w:tcW w:w="1701" w:type="dxa"/>
            <w:vAlign w:val="center"/>
          </w:tcPr>
          <w:p>
            <w:r>
              <w:rPr>
                <w:rFonts w:hint="eastAsia" w:ascii="宋体" w:hAnsi="宋体"/>
                <w:color w:val="000000"/>
                <w:kern w:val="0"/>
                <w:sz w:val="18"/>
                <w:szCs w:val="18"/>
              </w:rPr>
              <w:t>警告、记过、降级、撤职，同时取消其三年内各类评奖评优、升职升级资格</w:t>
            </w:r>
          </w:p>
        </w:tc>
        <w:tc>
          <w:tcPr>
            <w:tcW w:w="1701" w:type="dxa"/>
            <w:vAlign w:val="center"/>
          </w:tcPr>
          <w:p>
            <w:r>
              <w:rPr>
                <w:rFonts w:hint="eastAsia" w:ascii="宋体" w:hAnsi="宋体"/>
                <w:color w:val="000000"/>
                <w:kern w:val="0"/>
                <w:sz w:val="18"/>
                <w:szCs w:val="18"/>
              </w:rPr>
              <w:t>警告、记过，同时取消其二年内各类评奖评优、升职升级资格</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通报批评、警告、记过，同时取消其一年内各类评奖评优、升职升级资格</w:t>
            </w:r>
          </w:p>
        </w:tc>
        <w:tc>
          <w:tcPr>
            <w:tcW w:w="1610"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通报批评、警告，同时取消其一年内各类评奖评优资格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9"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实验室管理员、研究生导师、实验指导老师、教科研项目负责人</w:t>
            </w:r>
          </w:p>
        </w:tc>
        <w:tc>
          <w:tcPr>
            <w:tcW w:w="1701" w:type="dxa"/>
            <w:vAlign w:val="center"/>
          </w:tcPr>
          <w:p>
            <w:r>
              <w:rPr>
                <w:rFonts w:hint="eastAsia" w:ascii="宋体" w:hAnsi="宋体"/>
                <w:color w:val="000000"/>
                <w:kern w:val="0"/>
                <w:sz w:val="18"/>
                <w:szCs w:val="18"/>
              </w:rPr>
              <w:t>警告、记过、降级、撤职，同时取消其三年内各类评奖评优、升职升级资格</w:t>
            </w:r>
          </w:p>
        </w:tc>
        <w:tc>
          <w:tcPr>
            <w:tcW w:w="1701" w:type="dxa"/>
            <w:vAlign w:val="center"/>
          </w:tcPr>
          <w:p>
            <w:r>
              <w:rPr>
                <w:rFonts w:hint="eastAsia" w:ascii="宋体" w:hAnsi="宋体"/>
                <w:color w:val="000000"/>
                <w:kern w:val="0"/>
                <w:sz w:val="18"/>
                <w:szCs w:val="18"/>
              </w:rPr>
              <w:t>警告、记过，同时取消其二年内各类评奖评优、升职升级资格</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通报批评、警告、记过，同时取消其一年内各类评奖评优、升职升级资格</w:t>
            </w:r>
          </w:p>
        </w:tc>
        <w:tc>
          <w:tcPr>
            <w:tcW w:w="1610"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通报批评、警告，同时取消其一年内各类评奖评优资格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9"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二级教学科研单位第一负责人</w:t>
            </w:r>
          </w:p>
        </w:tc>
        <w:tc>
          <w:tcPr>
            <w:tcW w:w="1701" w:type="dxa"/>
            <w:vAlign w:val="center"/>
          </w:tcPr>
          <w:p>
            <w:r>
              <w:rPr>
                <w:rFonts w:hint="eastAsia" w:ascii="宋体" w:hAnsi="宋体"/>
                <w:color w:val="000000"/>
                <w:kern w:val="0"/>
                <w:sz w:val="18"/>
                <w:szCs w:val="18"/>
              </w:rPr>
              <w:t>警告、记过、降级、撤职，同时取消其三年内各类评奖评优、升职升级资格</w:t>
            </w:r>
          </w:p>
        </w:tc>
        <w:tc>
          <w:tcPr>
            <w:tcW w:w="1701" w:type="dxa"/>
            <w:vAlign w:val="center"/>
          </w:tcPr>
          <w:p>
            <w:r>
              <w:rPr>
                <w:rFonts w:hint="eastAsia" w:ascii="宋体" w:hAnsi="宋体"/>
                <w:color w:val="000000"/>
                <w:kern w:val="0"/>
                <w:sz w:val="18"/>
                <w:szCs w:val="18"/>
              </w:rPr>
              <w:t>警告、记过，同时取消其二年内各类评奖评优、升职升级资格</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诫勉谈话、警告，同时取消其一年内各类评奖评优、升职升级资格</w:t>
            </w:r>
          </w:p>
        </w:tc>
        <w:tc>
          <w:tcPr>
            <w:tcW w:w="1610"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通报批评、诫勉谈话，同时取消其一年内各类评奖评优资格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09"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二级教学科研单位分管实验室安全的领导</w:t>
            </w:r>
          </w:p>
        </w:tc>
        <w:tc>
          <w:tcPr>
            <w:tcW w:w="1701" w:type="dxa"/>
            <w:vAlign w:val="center"/>
          </w:tcPr>
          <w:p>
            <w:r>
              <w:rPr>
                <w:rFonts w:hint="eastAsia" w:ascii="宋体" w:hAnsi="宋体"/>
                <w:color w:val="000000"/>
                <w:kern w:val="0"/>
                <w:sz w:val="18"/>
                <w:szCs w:val="18"/>
              </w:rPr>
              <w:t>警告、记过、降级、撤职，同时取消其三年内各类评奖评优、升职升级资格</w:t>
            </w:r>
          </w:p>
        </w:tc>
        <w:tc>
          <w:tcPr>
            <w:tcW w:w="1701" w:type="dxa"/>
            <w:vAlign w:val="center"/>
          </w:tcPr>
          <w:p>
            <w:r>
              <w:rPr>
                <w:rFonts w:hint="eastAsia" w:ascii="宋体" w:hAnsi="宋体"/>
                <w:color w:val="000000"/>
                <w:kern w:val="0"/>
                <w:sz w:val="18"/>
                <w:szCs w:val="18"/>
              </w:rPr>
              <w:t>警告、记过，同时取消其二年内各类评奖评优、升职升级资格</w:t>
            </w:r>
          </w:p>
        </w:tc>
        <w:tc>
          <w:tcPr>
            <w:tcW w:w="1701"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诫勉谈话、警告，同时取消其一年内各类评奖评优、升职升级资格</w:t>
            </w:r>
          </w:p>
        </w:tc>
        <w:tc>
          <w:tcPr>
            <w:tcW w:w="1610" w:type="dxa"/>
            <w:vAlign w:val="center"/>
          </w:tcPr>
          <w:p>
            <w:pPr>
              <w:widowControl/>
              <w:spacing w:line="240" w:lineRule="exact"/>
              <w:rPr>
                <w:rFonts w:ascii="宋体" w:hAnsi="宋体"/>
                <w:color w:val="000000"/>
                <w:kern w:val="0"/>
                <w:sz w:val="18"/>
                <w:szCs w:val="18"/>
              </w:rPr>
            </w:pPr>
            <w:r>
              <w:rPr>
                <w:rFonts w:hint="eastAsia" w:ascii="宋体" w:hAnsi="宋体"/>
                <w:color w:val="000000"/>
                <w:kern w:val="0"/>
                <w:sz w:val="18"/>
                <w:szCs w:val="18"/>
              </w:rPr>
              <w:t>通报批评、诫勉谈话，同时取消其一年内各类评奖评优资格</w:t>
            </w:r>
          </w:p>
        </w:tc>
      </w:tr>
    </w:tbl>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（一）违反国家各级部门和学校的有关规定、操作失误、玩忽职守、失职渎职、管理不到位等原因，造成实验室安全事故发生的；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(二)未履行安全职责或发现安全隐患未及时采取整改措施和报告上级领导的，或接到相关报告后未采取有效措施，造成安全事故发生的；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(三)未进行实验室安全设施、特种设备定期检修和维护，造成安全事故发生的；</w:t>
      </w:r>
    </w:p>
    <w:p>
      <w:pPr>
        <w:widowControl/>
        <w:spacing w:line="440" w:lineRule="exact"/>
        <w:ind w:firstLine="360" w:firstLineChars="150"/>
        <w:jc w:val="left"/>
        <w:rPr>
          <w:rFonts w:ascii="宋体" w:hAnsi="宋体"/>
          <w:color w:val="000000"/>
          <w:kern w:val="0"/>
          <w:sz w:val="24"/>
          <w:szCs w:val="24"/>
        </w:rPr>
      </w:pPr>
      <w:r>
        <w:rPr>
          <w:rFonts w:hint="eastAsia" w:ascii="宋体" w:hAnsi="宋体"/>
          <w:color w:val="000000"/>
          <w:kern w:val="0"/>
          <w:sz w:val="24"/>
          <w:szCs w:val="24"/>
        </w:rPr>
        <w:t>（四）未严格执行危险化学品和和易制毒化学品管理规定，造成安全事故发生的；</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themeColor="text1"/>
          <w:kern w:val="0"/>
          <w:sz w:val="24"/>
          <w:szCs w:val="24"/>
          <w14:textFill>
            <w14:solidFill>
              <w14:schemeClr w14:val="tx1"/>
            </w14:solidFill>
          </w14:textFill>
        </w:rPr>
        <w:t>第九条</w:t>
      </w:r>
      <w:r>
        <w:rPr>
          <w:rFonts w:hint="eastAsia" w:ascii="宋体" w:hAnsi="宋体"/>
          <w:color w:val="000000" w:themeColor="text1"/>
          <w:kern w:val="0"/>
          <w:sz w:val="24"/>
          <w:szCs w:val="24"/>
          <w14:textFill>
            <w14:solidFill>
              <w14:schemeClr w14:val="tx1"/>
            </w14:solidFill>
          </w14:textFill>
        </w:rPr>
        <w:t xml:space="preserve">  相关</w:t>
      </w:r>
      <w:r>
        <w:rPr>
          <w:rFonts w:hint="eastAsia" w:ascii="宋体" w:hAnsi="宋体"/>
          <w:color w:val="000000"/>
          <w:kern w:val="0"/>
          <w:sz w:val="24"/>
          <w:szCs w:val="24"/>
        </w:rPr>
        <w:t>职能部门负责人和管理人员有以下行为之一且造成</w:t>
      </w:r>
      <w:r>
        <w:rPr>
          <w:rFonts w:hint="eastAsia" w:ascii="宋体" w:hAnsi="宋体"/>
          <w:color w:val="000000" w:themeColor="text1"/>
          <w:kern w:val="0"/>
          <w:sz w:val="24"/>
          <w:szCs w:val="24"/>
          <w14:textFill>
            <w14:solidFill>
              <w14:schemeClr w14:val="tx1"/>
            </w14:solidFill>
          </w14:textFill>
        </w:rPr>
        <w:t>Ⅰ、Ⅱ级实验室安全事故发生</w:t>
      </w:r>
      <w:r>
        <w:rPr>
          <w:rFonts w:hint="eastAsia" w:ascii="宋体" w:hAnsi="宋体"/>
          <w:color w:val="000000"/>
          <w:kern w:val="0"/>
          <w:sz w:val="24"/>
          <w:szCs w:val="24"/>
        </w:rPr>
        <w:t>的，视职责履行情况和情节轻重，给予书面检查、通报批评、诫勉谈话、警告、记过、降级、撤职等处理或处分，并取消其一年内各类评奖评优、升职升级资格：</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(一)接到上级部门、学校有关通知和文件后，未及时发布或通知相关单位，致使事故发生的；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(二)接到二级教学科研单位提交的属于本部门工作职责范围内的实验室安全隐患专题书面报告后，未及时帮助解决，致使事故发生的；</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(三)未认真履行实验室安全的相关职责或违反有关规定，监管不力、失职渎职，致使事故发生的。</w:t>
      </w:r>
    </w:p>
    <w:p>
      <w:pPr>
        <w:widowControl/>
        <w:spacing w:line="440" w:lineRule="exact"/>
        <w:ind w:firstLine="643" w:firstLineChars="200"/>
        <w:jc w:val="cente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b/>
          <w:bCs/>
          <w:color w:val="000000"/>
          <w:kern w:val="0"/>
          <w:sz w:val="32"/>
          <w:szCs w:val="32"/>
        </w:rPr>
        <w:t>第四章  单位（部门）责任追究</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themeColor="text1"/>
          <w:kern w:val="0"/>
          <w:sz w:val="24"/>
          <w:szCs w:val="24"/>
          <w14:textFill>
            <w14:solidFill>
              <w14:schemeClr w14:val="tx1"/>
            </w14:solidFill>
          </w14:textFill>
        </w:rPr>
        <w:t xml:space="preserve">第十条  </w:t>
      </w:r>
      <w:r>
        <w:rPr>
          <w:rFonts w:hint="eastAsia" w:ascii="宋体" w:hAnsi="宋体"/>
          <w:color w:val="000000" w:themeColor="text1"/>
          <w:kern w:val="0"/>
          <w:sz w:val="24"/>
          <w:szCs w:val="24"/>
          <w14:textFill>
            <w14:solidFill>
              <w14:schemeClr w14:val="tx1"/>
            </w14:solidFill>
          </w14:textFill>
        </w:rPr>
        <w:t>发生Ⅰ至Ⅳ级实验室安全事故发生</w:t>
      </w:r>
      <w:r>
        <w:rPr>
          <w:rFonts w:hint="eastAsia" w:ascii="宋体" w:hAnsi="宋体"/>
          <w:color w:val="000000"/>
          <w:kern w:val="0"/>
          <w:sz w:val="24"/>
          <w:szCs w:val="24"/>
        </w:rPr>
        <w:t>的二级教学科研单位，当年年度工作综合考核实行“一票否决”制度：</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kern w:val="0"/>
          <w:sz w:val="24"/>
          <w:szCs w:val="24"/>
        </w:rPr>
        <w:t>（一）发生</w:t>
      </w:r>
      <w:r>
        <w:rPr>
          <w:rFonts w:hint="eastAsia" w:ascii="宋体" w:hAnsi="宋体"/>
          <w:color w:val="000000" w:themeColor="text1"/>
          <w:kern w:val="0"/>
          <w:sz w:val="24"/>
          <w:szCs w:val="24"/>
          <w14:textFill>
            <w14:solidFill>
              <w14:schemeClr w14:val="tx1"/>
            </w14:solidFill>
          </w14:textFill>
        </w:rPr>
        <w:t>Ⅰ、Ⅱ级实验室安全事故，</w:t>
      </w:r>
      <w:r>
        <w:rPr>
          <w:rFonts w:hint="eastAsia" w:ascii="宋体" w:hAnsi="宋体"/>
          <w:color w:val="000000"/>
          <w:kern w:val="0"/>
          <w:sz w:val="24"/>
          <w:szCs w:val="24"/>
        </w:rPr>
        <w:t>当年本单位年度实验室安全工作考核直接按零分认定，且取消年度优秀考核资格</w:t>
      </w:r>
      <w:r>
        <w:rPr>
          <w:rFonts w:hint="eastAsia" w:ascii="宋体" w:hAnsi="宋体"/>
          <w:color w:val="000000" w:themeColor="text1"/>
          <w:kern w:val="0"/>
          <w:sz w:val="24"/>
          <w:szCs w:val="24"/>
          <w14:textFill>
            <w14:solidFill>
              <w14:schemeClr w14:val="tx1"/>
            </w14:solidFill>
          </w14:textFill>
        </w:rPr>
        <w:t>；</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（二）</w:t>
      </w:r>
      <w:r>
        <w:rPr>
          <w:rFonts w:hint="eastAsia" w:ascii="宋体" w:hAnsi="宋体"/>
          <w:color w:val="000000"/>
          <w:kern w:val="0"/>
          <w:sz w:val="24"/>
          <w:szCs w:val="24"/>
        </w:rPr>
        <w:t>发生</w:t>
      </w:r>
      <w:r>
        <w:rPr>
          <w:rFonts w:hint="eastAsia" w:ascii="宋体" w:hAnsi="宋体"/>
          <w:color w:val="000000" w:themeColor="text1"/>
          <w:kern w:val="0"/>
          <w:sz w:val="24"/>
          <w:szCs w:val="24"/>
          <w14:textFill>
            <w14:solidFill>
              <w14:schemeClr w14:val="tx1"/>
            </w14:solidFill>
          </w14:textFill>
        </w:rPr>
        <w:t>Ⅲ、Ⅳ级实验室安全事故，</w:t>
      </w:r>
      <w:r>
        <w:rPr>
          <w:rFonts w:hint="eastAsia" w:ascii="宋体" w:hAnsi="宋体"/>
          <w:color w:val="000000"/>
          <w:kern w:val="0"/>
          <w:sz w:val="24"/>
          <w:szCs w:val="24"/>
        </w:rPr>
        <w:t>当年本单位年度实验室安全工作考核直接按零分认定</w:t>
      </w:r>
      <w:r>
        <w:rPr>
          <w:rFonts w:hint="eastAsia" w:ascii="宋体" w:hAnsi="宋体"/>
          <w:color w:val="000000" w:themeColor="text1"/>
          <w:kern w:val="0"/>
          <w:sz w:val="24"/>
          <w:szCs w:val="24"/>
          <w14:textFill>
            <w14:solidFill>
              <w14:schemeClr w14:val="tx1"/>
            </w14:solidFill>
          </w14:textFill>
        </w:rPr>
        <w:t>；</w:t>
      </w:r>
    </w:p>
    <w:p>
      <w:pPr>
        <w:widowControl/>
        <w:spacing w:line="440" w:lineRule="exact"/>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（三）一年内发生二次及以上实验室安全事故，由学校实验室安全工作领导小组按从严从重原则提出处理意见。</w:t>
      </w:r>
    </w:p>
    <w:p>
      <w:pPr>
        <w:widowControl/>
        <w:spacing w:line="440" w:lineRule="exact"/>
        <w:ind w:firstLine="482"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 xml:space="preserve">第十一条  </w:t>
      </w:r>
      <w:r>
        <w:rPr>
          <w:rFonts w:hint="eastAsia" w:ascii="宋体" w:hAnsi="宋体"/>
          <w:color w:val="000000" w:themeColor="text1"/>
          <w:kern w:val="0"/>
          <w:sz w:val="24"/>
          <w:szCs w:val="24"/>
          <w14:textFill>
            <w14:solidFill>
              <w14:schemeClr w14:val="tx1"/>
            </w14:solidFill>
          </w14:textFill>
        </w:rPr>
        <w:t>对</w:t>
      </w:r>
      <w:r>
        <w:rPr>
          <w:rFonts w:hint="eastAsia" w:ascii="宋体" w:hAnsi="宋体"/>
          <w:color w:val="000000"/>
          <w:kern w:val="0"/>
          <w:sz w:val="24"/>
          <w:szCs w:val="24"/>
        </w:rPr>
        <w:t>发生</w:t>
      </w:r>
      <w:r>
        <w:rPr>
          <w:rFonts w:hint="eastAsia" w:ascii="宋体" w:hAnsi="宋体"/>
          <w:color w:val="000000" w:themeColor="text1"/>
          <w:kern w:val="0"/>
          <w:sz w:val="24"/>
          <w:szCs w:val="24"/>
          <w14:textFill>
            <w14:solidFill>
              <w14:schemeClr w14:val="tx1"/>
            </w14:solidFill>
          </w14:textFill>
        </w:rPr>
        <w:t>Ⅰ至Ⅲ级实验室安全事故负有主要责任的职能部门，</w:t>
      </w:r>
      <w:r>
        <w:rPr>
          <w:rFonts w:hint="eastAsia" w:ascii="宋体" w:hAnsi="宋体"/>
          <w:color w:val="000000"/>
          <w:kern w:val="0"/>
          <w:sz w:val="24"/>
          <w:szCs w:val="24"/>
        </w:rPr>
        <w:t>取消当年年度优秀考核资格</w:t>
      </w:r>
      <w:r>
        <w:rPr>
          <w:rFonts w:hint="eastAsia" w:ascii="宋体" w:hAnsi="宋体"/>
          <w:color w:val="000000" w:themeColor="text1"/>
          <w:kern w:val="0"/>
          <w:sz w:val="24"/>
          <w:szCs w:val="24"/>
          <w14:textFill>
            <w14:solidFill>
              <w14:schemeClr w14:val="tx1"/>
            </w14:solidFill>
          </w14:textFill>
        </w:rPr>
        <w:t>。</w:t>
      </w:r>
    </w:p>
    <w:p>
      <w:pPr>
        <w:widowControl/>
        <w:spacing w:line="440" w:lineRule="exact"/>
        <w:ind w:firstLine="643" w:firstLineChars="200"/>
        <w:jc w:val="cente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b/>
          <w:bCs/>
          <w:color w:val="000000"/>
          <w:kern w:val="0"/>
          <w:sz w:val="32"/>
          <w:szCs w:val="32"/>
        </w:rPr>
        <w:t>第五章 其他责任追究</w:t>
      </w:r>
    </w:p>
    <w:p>
      <w:pPr>
        <w:widowControl/>
        <w:spacing w:line="440" w:lineRule="exact"/>
        <w:ind w:firstLine="482"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 xml:space="preserve">第十二条  </w:t>
      </w:r>
      <w:r>
        <w:rPr>
          <w:rFonts w:hint="eastAsia" w:ascii="宋体" w:hAnsi="宋体"/>
          <w:color w:val="000000" w:themeColor="text1"/>
          <w:kern w:val="0"/>
          <w:sz w:val="24"/>
          <w:szCs w:val="24"/>
          <w14:textFill>
            <w14:solidFill>
              <w14:schemeClr w14:val="tx1"/>
            </w14:solidFill>
          </w14:textFill>
        </w:rPr>
        <w:t>对受到实验室安全</w:t>
      </w:r>
      <w:r>
        <w:rPr>
          <w:rFonts w:hint="eastAsia" w:ascii="宋体" w:hAnsi="宋体"/>
          <w:bCs/>
          <w:color w:val="000000"/>
          <w:kern w:val="0"/>
          <w:sz w:val="24"/>
          <w:szCs w:val="24"/>
        </w:rPr>
        <w:t>责任追究</w:t>
      </w:r>
      <w:r>
        <w:rPr>
          <w:rFonts w:hint="eastAsia" w:ascii="宋体" w:hAnsi="宋体"/>
          <w:color w:val="000000" w:themeColor="text1"/>
          <w:kern w:val="0"/>
          <w:sz w:val="24"/>
          <w:szCs w:val="24"/>
          <w14:textFill>
            <w14:solidFill>
              <w14:schemeClr w14:val="tx1"/>
            </w14:solidFill>
          </w14:textFill>
        </w:rPr>
        <w:t>的</w:t>
      </w:r>
      <w:r>
        <w:rPr>
          <w:rFonts w:hint="eastAsia" w:ascii="宋体" w:hAnsi="宋体"/>
          <w:color w:val="000000"/>
          <w:kern w:val="0"/>
          <w:sz w:val="24"/>
          <w:szCs w:val="24"/>
        </w:rPr>
        <w:t>相关责任人</w:t>
      </w:r>
      <w:r>
        <w:rPr>
          <w:rFonts w:hint="eastAsia" w:ascii="宋体" w:hAnsi="宋体"/>
          <w:color w:val="000000" w:themeColor="text1"/>
          <w:kern w:val="0"/>
          <w:sz w:val="24"/>
          <w:szCs w:val="24"/>
          <w14:textFill>
            <w14:solidFill>
              <w14:schemeClr w14:val="tx1"/>
            </w14:solidFill>
          </w14:textFill>
        </w:rPr>
        <w:t>，按照《衢州学院教职工收入分配暂行办法实施细则（修订）》（衢院人[2017]13号）相关规定执行经济处罚。</w:t>
      </w:r>
      <w:r>
        <w:rPr>
          <w:rFonts w:hint="eastAsia" w:ascii="宋体" w:hAnsi="宋体"/>
          <w:color w:val="000000"/>
          <w:kern w:val="0"/>
          <w:sz w:val="24"/>
          <w:szCs w:val="24"/>
        </w:rPr>
        <w:t>对造成经济损失的，由各级责任单位和相关责任人赔偿相应损失，具体比例由学校实验室安全工作领导小组确定。</w:t>
      </w:r>
    </w:p>
    <w:p>
      <w:pPr>
        <w:widowControl/>
        <w:spacing w:line="440" w:lineRule="exact"/>
        <w:ind w:firstLine="482" w:firstLineChars="200"/>
        <w:jc w:val="left"/>
        <w:rPr>
          <w:rFonts w:ascii="宋体" w:hAnsi="宋体"/>
          <w:kern w:val="0"/>
          <w:sz w:val="24"/>
          <w:szCs w:val="24"/>
        </w:rPr>
      </w:pPr>
      <w:r>
        <w:rPr>
          <w:rFonts w:hint="eastAsia" w:ascii="宋体" w:hAnsi="宋体"/>
          <w:b/>
          <w:color w:val="000000" w:themeColor="text1"/>
          <w:kern w:val="0"/>
          <w:sz w:val="24"/>
          <w:szCs w:val="24"/>
          <w14:textFill>
            <w14:solidFill>
              <w14:schemeClr w14:val="tx1"/>
            </w14:solidFill>
          </w14:textFill>
        </w:rPr>
        <w:t xml:space="preserve">第十三条  </w:t>
      </w:r>
      <w:r>
        <w:rPr>
          <w:rFonts w:hint="eastAsia" w:ascii="宋体" w:hAnsi="宋体"/>
          <w:kern w:val="0"/>
          <w:sz w:val="24"/>
          <w:szCs w:val="24"/>
        </w:rPr>
        <w:t>校级领导因领导不力、管理失职渎职而致使实验室发生严重安全事故的，按上级部门的意见或决定进行处理。</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themeColor="text1"/>
          <w:kern w:val="0"/>
          <w:sz w:val="24"/>
          <w:szCs w:val="24"/>
          <w14:textFill>
            <w14:solidFill>
              <w14:schemeClr w14:val="tx1"/>
            </w14:solidFill>
          </w14:textFill>
        </w:rPr>
        <w:t>第十四条</w:t>
      </w:r>
      <w:r>
        <w:rPr>
          <w:rFonts w:hint="eastAsia" w:ascii="宋体" w:hAnsi="宋体"/>
          <w:color w:val="000000"/>
          <w:kern w:val="0"/>
          <w:sz w:val="24"/>
          <w:szCs w:val="24"/>
        </w:rPr>
        <w:t xml:space="preserve">  以上行为涉嫌触犯法律的，依法移送司法机关追究刑事责任。</w:t>
      </w:r>
    </w:p>
    <w:p>
      <w:pPr>
        <w:widowControl/>
        <w:spacing w:line="440" w:lineRule="exact"/>
        <w:ind w:firstLine="643" w:firstLineChars="200"/>
        <w:jc w:val="center"/>
        <w:rPr>
          <w:rFonts w:ascii="黑体" w:hAnsi="黑体" w:eastAsia="黑体"/>
          <w:b/>
          <w:bCs/>
          <w:color w:val="000000"/>
          <w:kern w:val="0"/>
          <w:sz w:val="32"/>
          <w:szCs w:val="32"/>
        </w:rPr>
      </w:pPr>
      <w:r>
        <w:rPr>
          <w:rFonts w:hint="eastAsia" w:ascii="黑体" w:hAnsi="黑体" w:eastAsia="黑体"/>
          <w:b/>
          <w:bCs/>
          <w:color w:val="000000"/>
          <w:kern w:val="0"/>
          <w:sz w:val="32"/>
          <w:szCs w:val="32"/>
        </w:rPr>
        <w:t>第六章　安全责任追究权限和程序</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 xml:space="preserve">第十五条  </w:t>
      </w:r>
      <w:r>
        <w:rPr>
          <w:rFonts w:hint="eastAsia" w:ascii="宋体" w:hAnsi="宋体"/>
          <w:color w:val="000000"/>
          <w:kern w:val="0"/>
          <w:sz w:val="24"/>
          <w:szCs w:val="24"/>
        </w:rPr>
        <w:t>责任追究权限</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（一）书面检查、通报批评种类的责任追究，由学校实验室安全工作领导小组认定责任后直接决定，书面通知相关单位（部门）执行。书面检查、通报批评包括单位（部门）层级；</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（二）诫勉谈话、取消评优评奖和升职升级资格种类的责任追究，经学校实验室安全工作领导小组认定责任后，提请学校相关部门和组织、人事部门决定；</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（三）行政处分种类的责任追究，经学校实验室安全工作领导小组认定责任后提出处理建议，按《事业单位工作人员处分暂行规定》规定程序执行；</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（四）违反实验室技术安全相关规定，需责令赔偿经济损失的，由学校实验室安全工作领导小组认定责任后提出建议，报校长办公会研究决定。重大经济损失赔偿需提交学校党委会决定；</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（五）需移送司法机关追究法律责任的，按国家有关法律规定程序处理。</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第十六条</w:t>
      </w:r>
      <w:r>
        <w:rPr>
          <w:rFonts w:hint="eastAsia" w:ascii="宋体" w:hAnsi="宋体"/>
          <w:color w:val="000000"/>
          <w:kern w:val="0"/>
          <w:sz w:val="24"/>
          <w:szCs w:val="24"/>
        </w:rPr>
        <w:t>　责任追究程序</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一）实验室安全工作领导小组办公室负责会同其他相关职能部门对发生实验室安全差错或事故的情况、原因进行调查，并对相关责任人和责任单位（部门）以及责令经济赔偿额度提出处理意见和建议，报送学校实验室安全工作领导小组进行确定；</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（二）实验室安全责任追究应当在查清事实、分清责任的基础上作出决定，相关单位（部门）及个人应当予以协助并配合调查工作；</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（三）在对责任人或单位（部门）做出责任追究决定之前，应告知其拟追究的事实、理由和依据。听取责任人或单位（部门）负责人的陈述和申辩，并对其陈述和申辩提出的事实、理由和证据进行复核；</w:t>
      </w:r>
    </w:p>
    <w:p>
      <w:pPr>
        <w:widowControl/>
        <w:spacing w:line="44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（四）责任追究决定作出后应当以书面形式将责任追究决定书送达被追究人或被追究单位（部门）负责人。</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第十七条</w:t>
      </w:r>
      <w:r>
        <w:rPr>
          <w:rFonts w:hint="eastAsia" w:ascii="宋体" w:hAnsi="宋体"/>
          <w:color w:val="000000"/>
          <w:kern w:val="0"/>
          <w:sz w:val="24"/>
          <w:szCs w:val="24"/>
        </w:rPr>
        <w:t>　对</w:t>
      </w:r>
      <w:r>
        <w:rPr>
          <w:rFonts w:hint="eastAsia" w:ascii="宋体" w:hAnsi="宋体"/>
          <w:kern w:val="0"/>
          <w:sz w:val="24"/>
          <w:szCs w:val="24"/>
        </w:rPr>
        <w:t>校级领导干部进行</w:t>
      </w:r>
      <w:r>
        <w:rPr>
          <w:rFonts w:hint="eastAsia" w:ascii="宋体" w:hAnsi="宋体"/>
          <w:color w:val="000000"/>
          <w:kern w:val="0"/>
          <w:sz w:val="24"/>
          <w:szCs w:val="24"/>
        </w:rPr>
        <w:t>责任追究的，按上级部门的相关规定执行。</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 xml:space="preserve">第十八条  </w:t>
      </w:r>
      <w:r>
        <w:rPr>
          <w:rFonts w:hint="eastAsia" w:ascii="宋体" w:hAnsi="宋体"/>
          <w:color w:val="000000"/>
          <w:kern w:val="0"/>
          <w:sz w:val="24"/>
          <w:szCs w:val="24"/>
        </w:rPr>
        <w:t>被追究责任人或单位（部门）对所作出责任追究决定有异议的，可在接到责任追究决定书之日起10个工作日内以书面形式向学校实验室安全工作领导小组办公室提起申诉。申诉期间，不停止原责任追究的执行。</w:t>
      </w:r>
    </w:p>
    <w:p>
      <w:pPr>
        <w:widowControl/>
        <w:spacing w:line="440" w:lineRule="exact"/>
        <w:ind w:firstLine="643" w:firstLineChars="200"/>
        <w:jc w:val="center"/>
        <w:rPr>
          <w:rFonts w:ascii="黑体" w:hAnsi="黑体" w:eastAsia="黑体"/>
          <w:color w:val="000000"/>
          <w:kern w:val="0"/>
          <w:sz w:val="32"/>
          <w:szCs w:val="32"/>
        </w:rPr>
      </w:pPr>
      <w:r>
        <w:rPr>
          <w:rFonts w:hint="eastAsia" w:ascii="黑体" w:hAnsi="黑体" w:eastAsia="黑体"/>
          <w:b/>
          <w:bCs/>
          <w:color w:val="000000"/>
          <w:kern w:val="0"/>
          <w:sz w:val="32"/>
          <w:szCs w:val="32"/>
        </w:rPr>
        <w:t>第七章  附则</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第十九条</w:t>
      </w:r>
      <w:r>
        <w:rPr>
          <w:rFonts w:hint="eastAsia" w:ascii="宋体" w:hAnsi="宋体"/>
          <w:color w:val="000000"/>
          <w:kern w:val="0"/>
          <w:sz w:val="24"/>
          <w:szCs w:val="24"/>
        </w:rPr>
        <w:t xml:space="preserve">  本办法未尽事项或相关条款与国家法律法规相抵触，按国家法律法规执行。</w:t>
      </w:r>
    </w:p>
    <w:p>
      <w:pPr>
        <w:widowControl/>
        <w:spacing w:line="440" w:lineRule="exact"/>
        <w:ind w:firstLine="482" w:firstLineChars="200"/>
        <w:jc w:val="left"/>
        <w:rPr>
          <w:rFonts w:ascii="宋体" w:hAnsi="宋体"/>
          <w:color w:val="000000"/>
          <w:kern w:val="0"/>
          <w:sz w:val="24"/>
          <w:szCs w:val="24"/>
        </w:rPr>
      </w:pPr>
      <w:r>
        <w:rPr>
          <w:rFonts w:hint="eastAsia" w:ascii="宋体" w:hAnsi="宋体"/>
          <w:b/>
          <w:color w:val="000000"/>
          <w:kern w:val="0"/>
          <w:sz w:val="24"/>
          <w:szCs w:val="24"/>
        </w:rPr>
        <w:t>第二十条</w:t>
      </w:r>
      <w:r>
        <w:rPr>
          <w:rFonts w:hint="eastAsia" w:ascii="宋体" w:hAnsi="宋体"/>
          <w:color w:val="000000"/>
          <w:kern w:val="0"/>
          <w:sz w:val="24"/>
          <w:szCs w:val="24"/>
        </w:rPr>
        <w:t xml:space="preserve">  本办法自发布之日起施行，由学校实验室安全工作领导小组办公室负责解释。</w:t>
      </w:r>
    </w:p>
    <w:p/>
    <w:p/>
    <w:p>
      <w:pPr>
        <w:adjustRightInd w:val="0"/>
        <w:snapToGrid w:val="0"/>
        <w:spacing w:line="560" w:lineRule="exact"/>
        <w:rPr>
          <w:rFonts w:ascii="宋体" w:hAnsi="宋体"/>
          <w:color w:val="000000"/>
          <w:kern w:val="0"/>
          <w:sz w:val="24"/>
          <w:szCs w:val="24"/>
        </w:rPr>
      </w:pPr>
    </w:p>
    <w:p>
      <w:pPr>
        <w:adjustRightInd w:val="0"/>
        <w:snapToGrid w:val="0"/>
        <w:spacing w:line="560" w:lineRule="exact"/>
        <w:rPr>
          <w:rFonts w:ascii="宋体" w:hAnsi="宋体"/>
          <w:color w:val="000000"/>
          <w:kern w:val="0"/>
          <w:sz w:val="24"/>
          <w:szCs w:val="24"/>
        </w:rPr>
      </w:pPr>
    </w:p>
    <w:p>
      <w:pPr>
        <w:widowControl/>
        <w:jc w:val="left"/>
        <w:rPr>
          <w:rFonts w:ascii="宋体" w:hAnsi="宋体"/>
          <w:color w:val="000000"/>
          <w:kern w:val="0"/>
          <w:sz w:val="24"/>
          <w:szCs w:val="24"/>
        </w:rPr>
      </w:pPr>
      <w:r>
        <w:rPr>
          <w:rFonts w:ascii="宋体" w:hAnsi="宋体"/>
          <w:color w:val="000000"/>
          <w:kern w:val="0"/>
          <w:sz w:val="24"/>
          <w:szCs w:val="24"/>
        </w:rPr>
        <w:br w:type="page"/>
      </w:r>
    </w:p>
    <w:p>
      <w:pPr>
        <w:pStyle w:val="2"/>
        <w:jc w:val="left"/>
        <w:rPr>
          <w:sz w:val="32"/>
          <w:szCs w:val="32"/>
        </w:rPr>
      </w:pPr>
      <w:bookmarkStart w:id="71" w:name="_Toc46402440"/>
      <w:bookmarkStart w:id="72" w:name="_Toc4298"/>
      <w:bookmarkStart w:id="73" w:name="_Toc9439"/>
      <w:bookmarkStart w:id="74" w:name="_Toc16143"/>
      <w:bookmarkStart w:id="75" w:name="_Toc22486"/>
      <w:r>
        <w:rPr>
          <w:rFonts w:hint="eastAsia" w:ascii="黑体" w:hAnsi="黑体"/>
          <w:sz w:val="32"/>
          <w:szCs w:val="32"/>
        </w:rPr>
        <w:t>●</w:t>
      </w:r>
      <w:r>
        <w:rPr>
          <w:rFonts w:hint="eastAsia"/>
          <w:sz w:val="32"/>
          <w:szCs w:val="32"/>
        </w:rPr>
        <w:t>仪器设备管理篇</w:t>
      </w:r>
      <w:bookmarkEnd w:id="71"/>
    </w:p>
    <w:p>
      <w:pPr>
        <w:pStyle w:val="2"/>
      </w:pPr>
      <w:bookmarkStart w:id="76" w:name="_Toc46402441"/>
      <w:r>
        <w:rPr>
          <w:rFonts w:hint="eastAsia"/>
        </w:rPr>
        <w:t>衢州学院国有资产管理暂行办法</w:t>
      </w:r>
      <w:bookmarkEnd w:id="72"/>
      <w:bookmarkEnd w:id="73"/>
      <w:bookmarkEnd w:id="74"/>
      <w:bookmarkEnd w:id="75"/>
      <w:bookmarkEnd w:id="76"/>
    </w:p>
    <w:p>
      <w:pPr>
        <w:numPr>
          <w:ilvl w:val="0"/>
          <w:numId w:val="10"/>
        </w:numPr>
        <w:adjustRightInd w:val="0"/>
        <w:snapToGrid w:val="0"/>
        <w:spacing w:line="48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 总则</w:t>
      </w:r>
    </w:p>
    <w:p>
      <w:pPr>
        <w:pStyle w:val="12"/>
        <w:spacing w:before="0" w:beforeAutospacing="0" w:after="0" w:afterAutospacing="0" w:line="480" w:lineRule="exact"/>
        <w:ind w:firstLine="482" w:firstLineChars="200"/>
        <w:jc w:val="both"/>
        <w:rPr>
          <w:rFonts w:hAnsi="仿宋"/>
          <w:color w:val="000000"/>
          <w:sz w:val="24"/>
          <w:szCs w:val="32"/>
        </w:rPr>
      </w:pPr>
      <w:r>
        <w:rPr>
          <w:rFonts w:hint="eastAsia" w:hAnsi="仿宋"/>
          <w:b/>
          <w:bCs/>
          <w:color w:val="202020"/>
          <w:sz w:val="24"/>
          <w:szCs w:val="32"/>
        </w:rPr>
        <w:t>第一条</w:t>
      </w:r>
      <w:r>
        <w:rPr>
          <w:rFonts w:hint="eastAsia" w:hAnsi="仿宋"/>
          <w:color w:val="202020"/>
          <w:sz w:val="24"/>
          <w:szCs w:val="32"/>
        </w:rPr>
        <w:t xml:space="preserve">  为加强国有资产管理，维护国有资产的安全和完整，</w:t>
      </w:r>
      <w:r>
        <w:rPr>
          <w:rFonts w:hint="eastAsia" w:hAnsi="仿宋" w:cs="Arial"/>
          <w:color w:val="000000"/>
          <w:sz w:val="24"/>
          <w:szCs w:val="32"/>
        </w:rPr>
        <w:t>规范国有资产的运作，提高学校资产的使用效益及效率</w:t>
      </w:r>
      <w:r>
        <w:rPr>
          <w:rFonts w:hint="eastAsia" w:hAnsi="仿宋"/>
          <w:color w:val="202020"/>
          <w:sz w:val="24"/>
          <w:szCs w:val="32"/>
        </w:rPr>
        <w:t>，</w:t>
      </w:r>
      <w:r>
        <w:rPr>
          <w:rFonts w:hint="eastAsia" w:hAnsi="仿宋"/>
          <w:color w:val="000000"/>
          <w:sz w:val="24"/>
          <w:szCs w:val="32"/>
        </w:rPr>
        <w:t>根据《浙江省行政事业单位国有资产管理暂行办法》（浙政办发〔2009〕178号）、</w:t>
      </w:r>
      <w:r>
        <w:rPr>
          <w:rFonts w:hint="eastAsia" w:hAnsi="仿宋"/>
          <w:color w:val="202020"/>
          <w:sz w:val="24"/>
          <w:szCs w:val="32"/>
        </w:rPr>
        <w:t>《浙江省高等学校国有资产管理办法》</w:t>
      </w:r>
      <w:r>
        <w:rPr>
          <w:rFonts w:hint="eastAsia" w:hAnsi="仿宋"/>
          <w:color w:val="000000"/>
          <w:sz w:val="24"/>
          <w:szCs w:val="32"/>
        </w:rPr>
        <w:t>（浙政办发〔2013〕18号）、《衢州市市本级行政事业单位国有资产管理暂行办法》 (衢政发〔2008〕18号) 、《衢州市市级行政事业单位国有资产配置管理暂行办法》 (衢财资产〔2016〕4号)等文件精神，结合学校实际情况，特制定本办法。</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202020"/>
          <w:kern w:val="0"/>
          <w:sz w:val="24"/>
          <w:szCs w:val="32"/>
        </w:rPr>
        <w:t>第二条</w:t>
      </w:r>
      <w:r>
        <w:rPr>
          <w:rFonts w:hint="eastAsia" w:ascii="宋体" w:hAnsi="仿宋"/>
          <w:color w:val="202020"/>
          <w:kern w:val="0"/>
          <w:sz w:val="24"/>
          <w:szCs w:val="32"/>
        </w:rPr>
        <w:t xml:space="preserve">  </w:t>
      </w:r>
      <w:r>
        <w:rPr>
          <w:rFonts w:hint="eastAsia" w:ascii="宋体" w:hAnsi="仿宋"/>
          <w:color w:val="000000"/>
          <w:kern w:val="0"/>
          <w:sz w:val="24"/>
          <w:szCs w:val="32"/>
        </w:rPr>
        <w:t>资产管理的基本原则是坚持</w:t>
      </w:r>
      <w:r>
        <w:rPr>
          <w:rFonts w:hint="eastAsia" w:ascii="宋体" w:hAnsi="仿宋" w:cs="Arial"/>
          <w:color w:val="000000"/>
          <w:sz w:val="24"/>
          <w:szCs w:val="32"/>
        </w:rPr>
        <w:t>资产管理与预算管理相结合，坚持所有权与使用权相分离，坚持资产管理与责任管理相结合，坚持资产管理与财务管理相结合，坚持实物管理与价值管理相结合</w:t>
      </w:r>
      <w:r>
        <w:rPr>
          <w:rFonts w:hint="eastAsia" w:ascii="宋体" w:hAnsi="仿宋"/>
          <w:color w:val="000000"/>
          <w:kern w:val="0"/>
          <w:sz w:val="24"/>
          <w:szCs w:val="32"/>
        </w:rPr>
        <w:t>。</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color w:val="202020"/>
          <w:kern w:val="0"/>
          <w:sz w:val="24"/>
          <w:szCs w:val="32"/>
        </w:rPr>
        <w:t>第三条</w:t>
      </w:r>
      <w:r>
        <w:rPr>
          <w:rFonts w:hint="eastAsia" w:ascii="宋体" w:hAnsi="仿宋"/>
          <w:color w:val="202020"/>
          <w:kern w:val="0"/>
          <w:sz w:val="24"/>
          <w:szCs w:val="32"/>
        </w:rPr>
        <w:t xml:space="preserve">  </w:t>
      </w:r>
      <w:r>
        <w:rPr>
          <w:rFonts w:hint="eastAsia" w:ascii="宋体" w:hAnsi="仿宋" w:cs="Arial"/>
          <w:color w:val="000000"/>
          <w:sz w:val="24"/>
          <w:szCs w:val="32"/>
        </w:rPr>
        <w:t>资产管理的主要任务是</w:t>
      </w:r>
      <w:r>
        <w:rPr>
          <w:rFonts w:hint="eastAsia" w:ascii="宋体" w:hAnsi="仿宋"/>
          <w:color w:val="202020"/>
          <w:kern w:val="0"/>
          <w:sz w:val="24"/>
          <w:szCs w:val="32"/>
        </w:rPr>
        <w:t>认真贯彻党和国家的方针政策，</w:t>
      </w:r>
      <w:r>
        <w:rPr>
          <w:rFonts w:hint="eastAsia" w:ascii="宋体" w:hAnsi="仿宋"/>
          <w:kern w:val="0"/>
          <w:sz w:val="24"/>
          <w:szCs w:val="32"/>
        </w:rPr>
        <w:t>建立健全</w:t>
      </w:r>
      <w:r>
        <w:rPr>
          <w:rFonts w:hint="eastAsia" w:ascii="宋体" w:hAnsi="仿宋" w:cs="Arial"/>
          <w:color w:val="000000"/>
          <w:sz w:val="24"/>
          <w:szCs w:val="32"/>
        </w:rPr>
        <w:t>国有资产预算配置、使用、维修维护、处置等</w:t>
      </w:r>
      <w:r>
        <w:rPr>
          <w:rFonts w:hint="eastAsia" w:ascii="宋体" w:hAnsi="仿宋"/>
          <w:kern w:val="0"/>
          <w:sz w:val="24"/>
          <w:szCs w:val="32"/>
        </w:rPr>
        <w:t>各项规章制度，保障国有资产的安全和完整、防止国有资产流失，推动国有资产的合理配置、节约及有效使用。</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202020"/>
          <w:kern w:val="0"/>
          <w:sz w:val="24"/>
          <w:szCs w:val="32"/>
        </w:rPr>
        <w:t>第四条</w:t>
      </w:r>
      <w:r>
        <w:rPr>
          <w:rFonts w:hint="eastAsia" w:ascii="宋体" w:hAnsi="仿宋"/>
          <w:color w:val="202020"/>
          <w:kern w:val="0"/>
          <w:sz w:val="24"/>
          <w:szCs w:val="32"/>
        </w:rPr>
        <w:t xml:space="preserve">  </w:t>
      </w:r>
      <w:r>
        <w:rPr>
          <w:rFonts w:hint="eastAsia" w:ascii="宋体" w:hAnsi="仿宋"/>
          <w:kern w:val="0"/>
          <w:sz w:val="24"/>
          <w:szCs w:val="32"/>
        </w:rPr>
        <w:t>资</w:t>
      </w:r>
      <w:r>
        <w:rPr>
          <w:rFonts w:hint="eastAsia" w:ascii="宋体" w:hAnsi="仿宋"/>
          <w:color w:val="202020"/>
          <w:kern w:val="0"/>
          <w:sz w:val="24"/>
          <w:szCs w:val="32"/>
        </w:rPr>
        <w:t>产管理的主要内容</w:t>
      </w:r>
      <w:r>
        <w:rPr>
          <w:rFonts w:hint="eastAsia" w:ascii="宋体" w:hAnsi="仿宋"/>
          <w:color w:val="000000"/>
          <w:kern w:val="0"/>
          <w:sz w:val="24"/>
          <w:szCs w:val="32"/>
        </w:rPr>
        <w:t>包括资产配置、产权登记、资产使用、资产处置、资产收益、资产评估、资产清查、资产信息管理与统计报告、考核与奖惩等等。</w:t>
      </w:r>
    </w:p>
    <w:p>
      <w:pPr>
        <w:widowControl/>
        <w:numPr>
          <w:ilvl w:val="0"/>
          <w:numId w:val="10"/>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范围与分类</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202020"/>
          <w:kern w:val="0"/>
          <w:sz w:val="24"/>
          <w:szCs w:val="32"/>
        </w:rPr>
        <w:t>第五条</w:t>
      </w:r>
      <w:r>
        <w:rPr>
          <w:rFonts w:hint="eastAsia" w:ascii="宋体" w:hAnsi="仿宋"/>
          <w:color w:val="202020"/>
          <w:kern w:val="0"/>
          <w:sz w:val="24"/>
          <w:szCs w:val="32"/>
        </w:rPr>
        <w:t xml:space="preserve">  学校国有资产是</w:t>
      </w:r>
      <w:r>
        <w:rPr>
          <w:rFonts w:hint="eastAsia" w:ascii="宋体" w:hAnsi="仿宋" w:cs="Arial"/>
          <w:color w:val="000000"/>
          <w:sz w:val="24"/>
          <w:szCs w:val="32"/>
        </w:rPr>
        <w:t>指</w:t>
      </w:r>
      <w:r>
        <w:rPr>
          <w:rFonts w:hint="eastAsia" w:ascii="宋体" w:hAnsi="仿宋"/>
          <w:color w:val="000000"/>
          <w:kern w:val="0"/>
          <w:sz w:val="24"/>
          <w:szCs w:val="32"/>
        </w:rPr>
        <w:t>由学校占有、使用，依法确认为国家所有、能以货币计量的各种经济资源的总和。包括国家拨给学校的资产，学校按照国家政策规定运用国有资产组织收入形成的资产，以及接受捐赠和其他经法律确认为国家所有的资产。</w:t>
      </w:r>
    </w:p>
    <w:p>
      <w:pPr>
        <w:widowControl/>
        <w:adjustRightInd w:val="0"/>
        <w:snapToGrid w:val="0"/>
        <w:spacing w:line="480" w:lineRule="exact"/>
        <w:ind w:firstLine="482" w:firstLineChars="200"/>
        <w:rPr>
          <w:rFonts w:ascii="宋体" w:hAnsi="仿宋" w:cs="Arial"/>
          <w:color w:val="000000"/>
          <w:sz w:val="24"/>
          <w:szCs w:val="32"/>
        </w:rPr>
      </w:pPr>
      <w:r>
        <w:rPr>
          <w:rFonts w:hint="eastAsia" w:ascii="宋体" w:hAnsi="仿宋" w:cs="Arial"/>
          <w:b/>
          <w:bCs/>
          <w:color w:val="000000"/>
          <w:sz w:val="24"/>
          <w:szCs w:val="32"/>
        </w:rPr>
        <w:t>第六条</w:t>
      </w:r>
      <w:r>
        <w:rPr>
          <w:rFonts w:hint="eastAsia" w:ascii="宋体" w:hAnsi="仿宋" w:cs="Arial"/>
          <w:color w:val="000000"/>
          <w:sz w:val="24"/>
          <w:szCs w:val="32"/>
        </w:rPr>
        <w:t xml:space="preserve">  学校国有资产按其存在形态和表现形式分为流动资产、固定资产、在建工程、无形资产和对外投资等其他资产。</w:t>
      </w:r>
    </w:p>
    <w:p>
      <w:pPr>
        <w:widowControl/>
        <w:adjustRightInd w:val="0"/>
        <w:snapToGrid w:val="0"/>
        <w:spacing w:line="480" w:lineRule="exact"/>
        <w:ind w:firstLine="480" w:firstLineChars="200"/>
        <w:rPr>
          <w:rFonts w:ascii="宋体" w:hAnsi="仿宋" w:cs="Arial"/>
          <w:color w:val="000000"/>
          <w:sz w:val="24"/>
          <w:szCs w:val="32"/>
        </w:rPr>
      </w:pPr>
      <w:r>
        <w:rPr>
          <w:rFonts w:hint="eastAsia" w:ascii="宋体" w:hAnsi="仿宋" w:cs="Arial"/>
          <w:color w:val="000000"/>
          <w:sz w:val="24"/>
          <w:szCs w:val="32"/>
        </w:rPr>
        <w:t>（一）流动资产是指可以在一年以内变现或者耗用的资产，包括现金、各种存款、零余额账户用款额度、应收及预付款项、存货等。其中存货指在开展业务活动及其他活动中为耗用而储存的资产，包括材料、燃料、包装物和低值易耗品等。</w:t>
      </w:r>
    </w:p>
    <w:p>
      <w:pPr>
        <w:widowControl/>
        <w:adjustRightInd w:val="0"/>
        <w:snapToGrid w:val="0"/>
        <w:spacing w:line="480" w:lineRule="exact"/>
        <w:ind w:firstLine="480" w:firstLineChars="200"/>
        <w:rPr>
          <w:rFonts w:ascii="宋体" w:hAnsi="仿宋" w:cs="Arial"/>
          <w:color w:val="000000"/>
          <w:sz w:val="24"/>
          <w:szCs w:val="32"/>
        </w:rPr>
      </w:pPr>
      <w:r>
        <w:rPr>
          <w:rFonts w:hint="eastAsia" w:ascii="宋体" w:hAnsi="仿宋" w:cs="Arial"/>
          <w:color w:val="000000"/>
          <w:sz w:val="24"/>
          <w:szCs w:val="32"/>
        </w:rPr>
        <w:t>（二）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w:t>
      </w:r>
    </w:p>
    <w:p>
      <w:pPr>
        <w:widowControl/>
        <w:adjustRightInd w:val="0"/>
        <w:snapToGrid w:val="0"/>
        <w:spacing w:line="480" w:lineRule="exact"/>
        <w:ind w:firstLine="480" w:firstLineChars="200"/>
        <w:rPr>
          <w:rFonts w:ascii="宋体" w:hAnsi="仿宋" w:cs="Arial"/>
          <w:color w:val="000000"/>
          <w:sz w:val="24"/>
          <w:szCs w:val="32"/>
        </w:rPr>
      </w:pPr>
      <w:r>
        <w:rPr>
          <w:rFonts w:hint="eastAsia" w:ascii="宋体" w:hAnsi="仿宋" w:cs="Arial"/>
          <w:color w:val="000000"/>
          <w:sz w:val="24"/>
          <w:szCs w:val="32"/>
        </w:rPr>
        <w:t>（三）在建工程是指已经发生必要支出，但尚未达到交付使用状态的建设工程。</w:t>
      </w:r>
    </w:p>
    <w:p>
      <w:pPr>
        <w:widowControl/>
        <w:adjustRightInd w:val="0"/>
        <w:snapToGrid w:val="0"/>
        <w:spacing w:line="480" w:lineRule="exact"/>
        <w:ind w:firstLine="480" w:firstLineChars="200"/>
        <w:rPr>
          <w:rFonts w:ascii="宋体" w:hAnsi="仿宋" w:cs="Arial"/>
          <w:color w:val="000000"/>
          <w:sz w:val="24"/>
          <w:szCs w:val="32"/>
        </w:rPr>
      </w:pPr>
      <w:r>
        <w:rPr>
          <w:rFonts w:hint="eastAsia" w:ascii="宋体" w:hAnsi="仿宋" w:cs="Arial"/>
          <w:color w:val="000000"/>
          <w:sz w:val="24"/>
          <w:szCs w:val="32"/>
        </w:rPr>
        <w:t>（四）无形资产是指不具有实物形态而能为使用者提供某种权利的资产，包括专利权、商标权、著作权、土地使用权、非专利技术、商誉以及其他财产权利。</w:t>
      </w:r>
    </w:p>
    <w:p>
      <w:pPr>
        <w:widowControl/>
        <w:adjustRightInd w:val="0"/>
        <w:snapToGrid w:val="0"/>
        <w:spacing w:line="480" w:lineRule="exact"/>
        <w:ind w:firstLine="480" w:firstLineChars="200"/>
        <w:rPr>
          <w:rFonts w:ascii="宋体" w:hAnsi="仿宋" w:cs="Arial"/>
          <w:color w:val="000000"/>
          <w:sz w:val="24"/>
          <w:szCs w:val="32"/>
        </w:rPr>
      </w:pPr>
      <w:r>
        <w:rPr>
          <w:rFonts w:hint="eastAsia" w:ascii="宋体" w:hAnsi="仿宋" w:cs="Arial"/>
          <w:color w:val="000000"/>
          <w:sz w:val="24"/>
          <w:szCs w:val="32"/>
        </w:rPr>
        <w:t>（五）对外投资是指高校依法利用货币资金、实物、无形资产等对其他单位的投资。</w:t>
      </w:r>
    </w:p>
    <w:p>
      <w:pPr>
        <w:widowControl/>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第三章  管理机构及职责</w:t>
      </w:r>
    </w:p>
    <w:p>
      <w:pPr>
        <w:widowControl/>
        <w:adjustRightInd w:val="0"/>
        <w:snapToGrid w:val="0"/>
        <w:spacing w:line="480" w:lineRule="exact"/>
        <w:ind w:firstLine="482" w:firstLineChars="200"/>
        <w:rPr>
          <w:rFonts w:ascii="宋体" w:hAnsi="仿宋"/>
          <w:color w:val="202020"/>
          <w:kern w:val="0"/>
          <w:sz w:val="24"/>
          <w:szCs w:val="32"/>
        </w:rPr>
      </w:pPr>
      <w:r>
        <w:rPr>
          <w:rFonts w:hint="eastAsia" w:ascii="宋体" w:hAnsi="仿宋"/>
          <w:b/>
          <w:bCs/>
          <w:color w:val="202020"/>
          <w:kern w:val="0"/>
          <w:sz w:val="24"/>
          <w:szCs w:val="32"/>
        </w:rPr>
        <w:t>第七条</w:t>
      </w:r>
      <w:r>
        <w:rPr>
          <w:rFonts w:hint="eastAsia" w:ascii="宋体" w:hAnsi="仿宋"/>
          <w:color w:val="202020"/>
          <w:kern w:val="0"/>
          <w:sz w:val="24"/>
          <w:szCs w:val="32"/>
        </w:rPr>
        <w:t xml:space="preserve">  </w:t>
      </w:r>
      <w:r>
        <w:rPr>
          <w:rFonts w:hint="eastAsia" w:ascii="宋体" w:hAnsi="仿宋" w:cs="Arial"/>
          <w:color w:val="000000"/>
          <w:sz w:val="24"/>
          <w:szCs w:val="32"/>
        </w:rPr>
        <w:t>学校按照“统一领导、集中管理、分级负责、责任到人”的国有资产管理要求</w:t>
      </w:r>
      <w:r>
        <w:rPr>
          <w:rFonts w:hint="eastAsia" w:ascii="宋体" w:hAnsi="仿宋" w:cs="Arial"/>
          <w:sz w:val="24"/>
          <w:szCs w:val="32"/>
        </w:rPr>
        <w:t>，</w:t>
      </w:r>
      <w:r>
        <w:rPr>
          <w:rFonts w:hint="eastAsia" w:ascii="宋体" w:hAnsi="仿宋"/>
          <w:kern w:val="0"/>
          <w:sz w:val="24"/>
          <w:szCs w:val="32"/>
        </w:rPr>
        <w:t>成立资产管理领导小组，</w:t>
      </w:r>
      <w:r>
        <w:rPr>
          <w:rFonts w:hint="eastAsia" w:ascii="宋体" w:hAnsi="仿宋"/>
          <w:color w:val="202020"/>
          <w:kern w:val="0"/>
          <w:sz w:val="24"/>
          <w:szCs w:val="32"/>
        </w:rPr>
        <w:t>统一领导全校资产管理工作</w:t>
      </w:r>
      <w:r>
        <w:rPr>
          <w:rFonts w:hint="eastAsia" w:ascii="宋体" w:hAnsi="仿宋"/>
          <w:kern w:val="0"/>
          <w:sz w:val="24"/>
          <w:szCs w:val="32"/>
        </w:rPr>
        <w:t>。</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学校资产管理领导小组主要职责：</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（一）研究制定学校国有资产管理的各项规章制度和实施办法，并组织实施。</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（二）督促相关职能部门加强对各类国有资产的监督管理，并对执行情况进行检查和监督。</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（三）研究决定开展学校国有资产的清查、登记、资产评估、统计汇总、资产变更等重大工作部署。</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（四）审核学校国有资产的产权界定、合理配置和资产的对外投资、出租、调拨、转让、报损、报废等确认及申报工作。</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（五）研究制定学校国有资产保值增值、绩效考核等具体实施办法，明确资产收益标准与收缴办法，并监督检查款项收缴工作。</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（六）审核学校国有资产的情况和信息，确定向上级部门和学校领导报告工作。</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（七）研究学校国有资产管理中存在的问题，提出改进方案和措施；对违反国有资产管理制度者提出处理意见。</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第八条</w:t>
      </w:r>
      <w:r>
        <w:rPr>
          <w:rFonts w:hint="eastAsia" w:ascii="宋体" w:hAnsi="仿宋"/>
          <w:kern w:val="0"/>
          <w:sz w:val="24"/>
          <w:szCs w:val="32"/>
        </w:rPr>
        <w:t xml:space="preserve">  计划财务处是学校各类资产综合管理的职能部门，负责对全校资产进行统筹管理。根据工作需要，建立专门的管理科室，配备相应数量的具备相关专业知识的管理人员，并保持相对稳定，完善资产管理信息系统，确保正常开展资产管理工作。 </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第九条</w:t>
      </w:r>
      <w:r>
        <w:rPr>
          <w:rFonts w:hint="eastAsia" w:ascii="宋体" w:hAnsi="仿宋"/>
          <w:kern w:val="0"/>
          <w:sz w:val="24"/>
          <w:szCs w:val="32"/>
        </w:rPr>
        <w:t xml:space="preserve">  根据国有资产分类，学校办公室、后勤管理处、实验室与设备管理处、图书馆、计划财务处和科学研究管理处等分别负责固定资产、流动资产及对外投资、在建工程和无形资产的归口管理，结合学校实际，制定管理制度。</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第十条</w:t>
      </w:r>
      <w:r>
        <w:rPr>
          <w:rFonts w:hint="eastAsia" w:ascii="宋体" w:hAnsi="仿宋"/>
          <w:kern w:val="0"/>
          <w:sz w:val="24"/>
          <w:szCs w:val="32"/>
        </w:rPr>
        <w:t xml:space="preserve">  根据固定资产的具体内容，学校办公室负责车辆、文物、陈列品、艺术品以及档案等固定资产的专门管理；后勤管理处负责土地、房屋及构筑物、家具类等固定资产的专门管理；实验室与设备管理处负责办公设备、实验设备、教学设备等仪器设备类固定资产的专门管理；图书馆负责图书资料（含电子资料、音像资料）类等固定资产的专门管理。</w:t>
      </w:r>
      <w:r>
        <w:rPr>
          <w:rFonts w:hint="eastAsia" w:ascii="宋体" w:hAnsi="仿宋"/>
          <w:color w:val="000000"/>
          <w:sz w:val="24"/>
          <w:szCs w:val="32"/>
        </w:rPr>
        <w:t>专门管理部门应根据固定资产的具体内容、性质特点，制定管理办法。</w:t>
      </w:r>
    </w:p>
    <w:p>
      <w:pPr>
        <w:widowControl/>
        <w:adjustRightInd w:val="0"/>
        <w:snapToGrid w:val="0"/>
        <w:spacing w:line="480" w:lineRule="exact"/>
        <w:ind w:firstLine="482" w:firstLineChars="200"/>
        <w:rPr>
          <w:rFonts w:ascii="宋体" w:hAnsi="仿宋"/>
          <w:color w:val="000000"/>
          <w:sz w:val="24"/>
          <w:szCs w:val="32"/>
        </w:rPr>
      </w:pPr>
      <w:r>
        <w:rPr>
          <w:rFonts w:hint="eastAsia" w:ascii="宋体" w:hAnsi="仿宋"/>
          <w:b/>
          <w:bCs/>
          <w:kern w:val="0"/>
          <w:sz w:val="24"/>
          <w:szCs w:val="32"/>
        </w:rPr>
        <w:t>第十一条</w:t>
      </w:r>
      <w:r>
        <w:rPr>
          <w:rFonts w:hint="eastAsia" w:ascii="宋体" w:hAnsi="仿宋"/>
          <w:kern w:val="0"/>
          <w:sz w:val="24"/>
          <w:szCs w:val="32"/>
        </w:rPr>
        <w:t xml:space="preserve">  根据无形资产的具体内容，</w:t>
      </w:r>
      <w:r>
        <w:rPr>
          <w:rFonts w:hint="eastAsia" w:ascii="宋体" w:hAnsi="仿宋"/>
          <w:color w:val="000000"/>
          <w:sz w:val="24"/>
          <w:szCs w:val="32"/>
        </w:rPr>
        <w:t>学校办公室负责学校冠名权等无形资产的专门管理；</w:t>
      </w:r>
      <w:r>
        <w:rPr>
          <w:rFonts w:hint="eastAsia" w:ascii="宋体" w:hAnsi="仿宋"/>
          <w:kern w:val="0"/>
          <w:sz w:val="24"/>
          <w:szCs w:val="32"/>
        </w:rPr>
        <w:t>科学研究管理处</w:t>
      </w:r>
      <w:r>
        <w:rPr>
          <w:rFonts w:hint="eastAsia" w:ascii="宋体" w:hAnsi="仿宋"/>
          <w:color w:val="000000"/>
          <w:sz w:val="24"/>
          <w:szCs w:val="32"/>
        </w:rPr>
        <w:t>负责学校的专利权、著作权等无形资产的专门管理。专门管理部门应根据无形资产的具体内容、性质特点，制定管理办法。</w:t>
      </w:r>
    </w:p>
    <w:p>
      <w:pPr>
        <w:adjustRightInd w:val="0"/>
        <w:snapToGrid w:val="0"/>
        <w:spacing w:line="480" w:lineRule="exact"/>
        <w:ind w:firstLine="482" w:firstLineChars="200"/>
        <w:rPr>
          <w:rFonts w:ascii="宋体" w:hAnsi="仿宋"/>
          <w:sz w:val="24"/>
          <w:szCs w:val="32"/>
        </w:rPr>
      </w:pPr>
      <w:r>
        <w:rPr>
          <w:rFonts w:hint="eastAsia" w:ascii="宋体" w:hAnsi="仿宋"/>
          <w:b/>
          <w:bCs/>
          <w:kern w:val="0"/>
          <w:sz w:val="24"/>
          <w:szCs w:val="32"/>
        </w:rPr>
        <w:t>第十二条</w:t>
      </w:r>
      <w:r>
        <w:rPr>
          <w:rFonts w:hint="eastAsia" w:ascii="宋体" w:hAnsi="仿宋"/>
          <w:kern w:val="0"/>
          <w:sz w:val="24"/>
          <w:szCs w:val="32"/>
        </w:rPr>
        <w:t xml:space="preserve">  学校各部门</w:t>
      </w:r>
      <w:r>
        <w:rPr>
          <w:rFonts w:hint="eastAsia" w:ascii="宋体" w:hAnsi="仿宋"/>
          <w:spacing w:val="9"/>
          <w:kern w:val="0"/>
          <w:sz w:val="24"/>
          <w:szCs w:val="32"/>
        </w:rPr>
        <w:t>（包括党政管理部门、教学单位、群团组织、直属单位，下同）</w:t>
      </w:r>
      <w:r>
        <w:rPr>
          <w:rFonts w:hint="eastAsia" w:ascii="宋体" w:hAnsi="仿宋"/>
          <w:kern w:val="0"/>
          <w:sz w:val="24"/>
          <w:szCs w:val="32"/>
        </w:rPr>
        <w:t>负责对本部门占有、使用的资产进行日常管理。</w:t>
      </w:r>
      <w:r>
        <w:rPr>
          <w:rFonts w:hint="eastAsia" w:ascii="宋体" w:hAnsi="仿宋"/>
          <w:sz w:val="24"/>
          <w:szCs w:val="32"/>
        </w:rPr>
        <w:t>负责资产购置后的验收、入账、建卡、使用和维护保养等工作；负责办理本单位资产的清查、登记及完成各类统计报表的填制汇报工作；按本单位资产存量及工作开展的需要，提出购置计划及资产报废的申请工作；完成上级交给的国有资产管理任务及有关信息的报告工作。</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第十三条</w:t>
      </w:r>
      <w:r>
        <w:rPr>
          <w:rFonts w:hint="eastAsia" w:ascii="宋体" w:hAnsi="仿宋"/>
          <w:sz w:val="24"/>
          <w:szCs w:val="32"/>
        </w:rPr>
        <w:t xml:space="preserve">  国有资产的分类管理部门设置资产管理岗位；资产占有、使用单位设置兼职资产管理员岗位，部门负责人为资产管理责任人。</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资产配置</w:t>
      </w:r>
    </w:p>
    <w:p>
      <w:pPr>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sz w:val="24"/>
          <w:szCs w:val="32"/>
        </w:rPr>
        <w:t>第十四条</w:t>
      </w:r>
      <w:r>
        <w:rPr>
          <w:rFonts w:hint="eastAsia" w:ascii="宋体" w:hAnsi="仿宋"/>
          <w:sz w:val="24"/>
          <w:szCs w:val="32"/>
        </w:rPr>
        <w:t xml:space="preserve">  学校坚持</w:t>
      </w:r>
      <w:r>
        <w:rPr>
          <w:rFonts w:hint="eastAsia" w:ascii="宋体" w:hAnsi="仿宋"/>
          <w:color w:val="000000"/>
          <w:kern w:val="0"/>
          <w:sz w:val="24"/>
          <w:szCs w:val="32"/>
        </w:rPr>
        <w:t>“依法配置、保障需要、科学合理、优化结构、勤俭节约、从严控制”的原则</w:t>
      </w:r>
      <w:r>
        <w:rPr>
          <w:rFonts w:hint="eastAsia" w:ascii="宋体" w:hAnsi="仿宋"/>
          <w:sz w:val="24"/>
          <w:szCs w:val="32"/>
        </w:rPr>
        <w:t>，</w:t>
      </w:r>
      <w:r>
        <w:rPr>
          <w:rFonts w:hint="eastAsia" w:ascii="宋体" w:hAnsi="仿宋"/>
          <w:color w:val="000000"/>
          <w:kern w:val="0"/>
          <w:sz w:val="24"/>
          <w:szCs w:val="32"/>
        </w:rPr>
        <w:t>通过购置、建设、调剂等方式或途径配置资产。</w:t>
      </w:r>
    </w:p>
    <w:p>
      <w:pPr>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000000"/>
          <w:kern w:val="0"/>
          <w:sz w:val="24"/>
          <w:szCs w:val="32"/>
        </w:rPr>
        <w:t>第十五条</w:t>
      </w:r>
      <w:r>
        <w:rPr>
          <w:rFonts w:hint="eastAsia" w:ascii="宋体" w:hAnsi="仿宋"/>
          <w:color w:val="000000"/>
          <w:kern w:val="0"/>
          <w:sz w:val="24"/>
          <w:szCs w:val="32"/>
        </w:rPr>
        <w:t xml:space="preserve">  学校配置资产应当执行规定的配置标准，对没有规定配置标准的，学校根据事业发展的客观需要，结合财务状况，制订学校资产配置标准。通用办公设备和家具的配置，应参照《衢州市市级行政单位通用办公设备家具配置标准》（衢财资产〔2016〕5号）文件执行，特殊需要提前报市财政局批准。</w:t>
      </w:r>
    </w:p>
    <w:p>
      <w:pPr>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sz w:val="24"/>
          <w:szCs w:val="32"/>
        </w:rPr>
        <w:t>第十六条</w:t>
      </w:r>
      <w:r>
        <w:rPr>
          <w:rFonts w:hint="eastAsia" w:ascii="宋体" w:hAnsi="仿宋"/>
          <w:sz w:val="24"/>
          <w:szCs w:val="32"/>
        </w:rPr>
        <w:t xml:space="preserve">  资产配置实行定编管理。学校</w:t>
      </w:r>
      <w:r>
        <w:rPr>
          <w:rFonts w:hint="eastAsia" w:ascii="宋体" w:hAnsi="仿宋"/>
          <w:color w:val="000000"/>
          <w:kern w:val="0"/>
          <w:sz w:val="24"/>
          <w:szCs w:val="32"/>
        </w:rPr>
        <w:t>根据实际情况，本着保障需要、科学合理的原则，确定各部门的各类资产配置编制数。</w:t>
      </w:r>
    </w:p>
    <w:p>
      <w:pPr>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000000"/>
          <w:kern w:val="0"/>
          <w:sz w:val="24"/>
          <w:szCs w:val="32"/>
        </w:rPr>
        <w:t>第十七条</w:t>
      </w:r>
      <w:r>
        <w:rPr>
          <w:rFonts w:hint="eastAsia" w:ascii="宋体" w:hAnsi="仿宋"/>
          <w:color w:val="000000"/>
          <w:kern w:val="0"/>
          <w:sz w:val="24"/>
          <w:szCs w:val="32"/>
        </w:rPr>
        <w:t xml:space="preserve">  各部门资产编制确定后，原则上不作调整，但如发生下列情况之一的，可以调整资产编制：</w:t>
      </w:r>
    </w:p>
    <w:p>
      <w:pPr>
        <w:adjustRightInd w:val="0"/>
        <w:snapToGrid w:val="0"/>
        <w:spacing w:line="480" w:lineRule="exact"/>
        <w:ind w:firstLine="480" w:firstLineChars="200"/>
        <w:rPr>
          <w:rFonts w:ascii="宋体" w:hAnsi="仿宋"/>
          <w:color w:val="000000"/>
          <w:kern w:val="0"/>
          <w:sz w:val="24"/>
          <w:szCs w:val="32"/>
        </w:rPr>
      </w:pPr>
      <w:r>
        <w:rPr>
          <w:rFonts w:hint="eastAsia" w:ascii="宋体" w:hAnsi="仿宋"/>
          <w:sz w:val="24"/>
          <w:szCs w:val="32"/>
        </w:rPr>
        <w:t>（一）</w:t>
      </w:r>
      <w:r>
        <w:rPr>
          <w:rFonts w:hint="eastAsia" w:ascii="宋体" w:hAnsi="仿宋"/>
          <w:color w:val="000000"/>
          <w:kern w:val="0"/>
          <w:sz w:val="24"/>
          <w:szCs w:val="32"/>
        </w:rPr>
        <w:t>学校内部机构合并、分立或者变更；</w:t>
      </w:r>
    </w:p>
    <w:p>
      <w:pPr>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（二）学校新增内设机构和人员编制；</w:t>
      </w:r>
    </w:p>
    <w:p>
      <w:pPr>
        <w:adjustRightInd w:val="0"/>
        <w:snapToGrid w:val="0"/>
        <w:spacing w:line="480" w:lineRule="exact"/>
        <w:ind w:firstLine="480" w:firstLineChars="200"/>
        <w:rPr>
          <w:rFonts w:ascii="宋体" w:hAnsi="仿宋"/>
          <w:color w:val="000000"/>
          <w:kern w:val="0"/>
          <w:sz w:val="24"/>
          <w:szCs w:val="32"/>
        </w:rPr>
      </w:pPr>
      <w:r>
        <w:rPr>
          <w:rFonts w:hint="eastAsia" w:ascii="宋体" w:hAnsi="仿宋"/>
          <w:kern w:val="0"/>
          <w:sz w:val="24"/>
          <w:szCs w:val="32"/>
        </w:rPr>
        <w:t>（三）教学科研任</w:t>
      </w:r>
      <w:r>
        <w:rPr>
          <w:rFonts w:hint="eastAsia" w:ascii="宋体" w:hAnsi="仿宋"/>
          <w:color w:val="000000"/>
          <w:kern w:val="0"/>
          <w:sz w:val="24"/>
          <w:szCs w:val="32"/>
        </w:rPr>
        <w:t>务增加，导致现有资产无法满足工作需要；</w:t>
      </w:r>
    </w:p>
    <w:p>
      <w:pPr>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（四）资产配置标准发生调整和更新；</w:t>
      </w:r>
    </w:p>
    <w:p>
      <w:pPr>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（五）其他需要调整资产编制的特殊情况。</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第十八条</w:t>
      </w:r>
      <w:r>
        <w:rPr>
          <w:rFonts w:hint="eastAsia" w:ascii="宋体" w:hAnsi="仿宋"/>
          <w:sz w:val="24"/>
          <w:szCs w:val="32"/>
        </w:rPr>
        <w:t xml:space="preserve">  学校根据预算管理的要求，编制资产配置预算，具体按照下列程序办理：</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（一）各部门根据本部门的资产存量、使用情况和发展需要编制年度资产配置预算，并报资产管理部门审核。</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（二）资产管理部门根据各部门上报的资产配置预算和学校事业发展实际需要，安排年度资产配置计划和经费预算，报计划财务处审核。</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（三）计划财务处汇总并审核资产管理部门上报的资产配置计划和经费预算，报学校审定。</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（四）经学校批准的资产配置计划和经费预算，报衢州市财政局审批。</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（五）学校资产配置原则上按年度预算执行。确因工作特殊要求，需在年度计划外配置，由部门提出申请，资产管理部门审核，分管校领导批准后实施。</w:t>
      </w:r>
    </w:p>
    <w:p>
      <w:pPr>
        <w:adjustRightInd w:val="0"/>
        <w:snapToGrid w:val="0"/>
        <w:spacing w:line="480" w:lineRule="exact"/>
        <w:ind w:firstLine="482" w:firstLineChars="200"/>
        <w:rPr>
          <w:rFonts w:ascii="宋体" w:hAnsi="仿宋"/>
          <w:bCs/>
          <w:sz w:val="24"/>
          <w:szCs w:val="32"/>
        </w:rPr>
      </w:pPr>
      <w:r>
        <w:rPr>
          <w:rFonts w:hint="eastAsia" w:ascii="宋体" w:hAnsi="仿宋"/>
          <w:b/>
          <w:bCs/>
          <w:sz w:val="24"/>
          <w:szCs w:val="32"/>
        </w:rPr>
        <w:t>第十九条</w:t>
      </w:r>
      <w:r>
        <w:rPr>
          <w:rFonts w:hint="eastAsia" w:ascii="宋体" w:hAnsi="仿宋"/>
          <w:sz w:val="24"/>
          <w:szCs w:val="32"/>
        </w:rPr>
        <w:t xml:space="preserve">  学校配置的资产，纳入政府采购范围的，实施政府采购；列入控购范围的资产，按规定办理控购审批程序；小额采购项目按学校采购管理的</w:t>
      </w:r>
      <w:r>
        <w:rPr>
          <w:rFonts w:hint="eastAsia" w:ascii="宋体" w:hAnsi="仿宋"/>
          <w:bCs/>
          <w:sz w:val="24"/>
          <w:szCs w:val="32"/>
        </w:rPr>
        <w:t>相关规定执行。</w:t>
      </w:r>
    </w:p>
    <w:p>
      <w:pPr>
        <w:adjustRightInd w:val="0"/>
        <w:snapToGrid w:val="0"/>
        <w:spacing w:line="480" w:lineRule="exact"/>
        <w:ind w:firstLine="482" w:firstLineChars="200"/>
        <w:rPr>
          <w:rFonts w:ascii="宋体" w:hAnsi="仿宋"/>
          <w:bCs/>
          <w:sz w:val="24"/>
          <w:szCs w:val="32"/>
        </w:rPr>
      </w:pPr>
      <w:r>
        <w:rPr>
          <w:rFonts w:hint="eastAsia" w:ascii="宋体" w:hAnsi="仿宋"/>
          <w:b/>
          <w:sz w:val="24"/>
          <w:szCs w:val="32"/>
        </w:rPr>
        <w:t>第二十条</w:t>
      </w:r>
      <w:r>
        <w:rPr>
          <w:rFonts w:hint="eastAsia" w:ascii="宋体" w:hAnsi="仿宋"/>
          <w:bCs/>
          <w:sz w:val="24"/>
          <w:szCs w:val="32"/>
        </w:rPr>
        <w:t xml:space="preserve">  学校优化资产配置，对积压、闲置或利用率不高的资产，由计划财务处进行统一调剂，或经学校同意予以调拨。</w:t>
      </w:r>
    </w:p>
    <w:p>
      <w:pPr>
        <w:adjustRightInd w:val="0"/>
        <w:snapToGrid w:val="0"/>
        <w:spacing w:line="480" w:lineRule="exact"/>
        <w:ind w:firstLine="482" w:firstLineChars="200"/>
        <w:rPr>
          <w:rFonts w:ascii="宋体" w:hAnsi="仿宋"/>
          <w:bCs/>
          <w:sz w:val="24"/>
          <w:szCs w:val="32"/>
        </w:rPr>
      </w:pPr>
      <w:r>
        <w:rPr>
          <w:rFonts w:hint="eastAsia" w:ascii="宋体" w:hAnsi="仿宋"/>
          <w:b/>
          <w:sz w:val="24"/>
          <w:szCs w:val="32"/>
        </w:rPr>
        <w:t>第二十一条</w:t>
      </w:r>
      <w:r>
        <w:rPr>
          <w:rFonts w:hint="eastAsia" w:ascii="宋体" w:hAnsi="仿宋"/>
          <w:bCs/>
          <w:sz w:val="24"/>
          <w:szCs w:val="32"/>
        </w:rPr>
        <w:t xml:space="preserve">  无偿调入或接收捐赠所形成的资产属于国有资产，由学校依法占有使用。由资产使用部门登记，资产管理部门审核后作价入账。计划财务处按财务会计制度有关规定入账。</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产权登记</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kern w:val="0"/>
          <w:sz w:val="24"/>
          <w:szCs w:val="32"/>
        </w:rPr>
        <w:t>第二十二条</w:t>
      </w:r>
      <w:r>
        <w:rPr>
          <w:rFonts w:hint="eastAsia" w:ascii="宋体" w:hAnsi="仿宋"/>
          <w:kern w:val="0"/>
          <w:sz w:val="24"/>
          <w:szCs w:val="32"/>
        </w:rPr>
        <w:t xml:space="preserve">  </w:t>
      </w:r>
      <w:r>
        <w:rPr>
          <w:rFonts w:hint="eastAsia" w:ascii="宋体" w:hAnsi="仿宋"/>
          <w:color w:val="000000"/>
          <w:kern w:val="0"/>
          <w:sz w:val="24"/>
          <w:szCs w:val="32"/>
        </w:rPr>
        <w:t>通过购置、调剂等方式获得的资产，资产管理部门应会同资产使用部门严把数量关、质量关，验收合格后及时办理登记入库手续。房屋、土地等固定资产，还应按国家相关法律、法规规定，新建建筑物和购买的土地由后勤管理处及时办理权属登记，明晰产权归属，相关资料和文件由学校档案部门存档的同时，并由计划财务处备案。其余资产权属登记由计划财务处根据要求办理。</w:t>
      </w:r>
    </w:p>
    <w:p>
      <w:pPr>
        <w:widowControl/>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（一）在建工程达到预定可使用状态时，后勤管理处应及时办理竣工验收、计划财务处办理竣工财务决算编报。</w:t>
      </w:r>
    </w:p>
    <w:p>
      <w:pPr>
        <w:widowControl/>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（二）专利、商标、著作、非专利技术和学校冠名权等无形资产，应按国家相关法律、法规规定及时办理注册登记，明晰权属。专利、商标、著作、非专利技术由</w:t>
      </w:r>
      <w:r>
        <w:rPr>
          <w:rFonts w:hint="eastAsia" w:ascii="宋体" w:hAnsi="仿宋"/>
          <w:kern w:val="0"/>
          <w:sz w:val="24"/>
          <w:szCs w:val="32"/>
        </w:rPr>
        <w:t>科学研究管理处</w:t>
      </w:r>
      <w:r>
        <w:rPr>
          <w:rFonts w:hint="eastAsia" w:ascii="宋体" w:hAnsi="仿宋"/>
          <w:color w:val="000000"/>
          <w:kern w:val="0"/>
          <w:sz w:val="24"/>
          <w:szCs w:val="32"/>
        </w:rPr>
        <w:t>详细登记造册，建立专项档案；学校冠名权由学校办公室登记、建立专门档案，并由计划财务处备案。</w:t>
      </w:r>
    </w:p>
    <w:p>
      <w:pPr>
        <w:widowControl/>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（三）对学校拥有的文物、艺术品等暂时无法确认价值的资产，学校办公室应详细登记造册，建立备查账，并由计划财务处备案，杜绝账外资产的存在。</w:t>
      </w:r>
    </w:p>
    <w:p>
      <w:pPr>
        <w:widowControl/>
        <w:adjustRightInd w:val="0"/>
        <w:snapToGrid w:val="0"/>
        <w:spacing w:line="480" w:lineRule="exact"/>
        <w:ind w:firstLine="480" w:firstLineChars="200"/>
        <w:rPr>
          <w:rFonts w:ascii="宋体" w:hAnsi="仿宋"/>
          <w:color w:val="000000"/>
          <w:kern w:val="0"/>
          <w:sz w:val="24"/>
          <w:szCs w:val="32"/>
        </w:rPr>
      </w:pPr>
      <w:r>
        <w:rPr>
          <w:rFonts w:hint="eastAsia" w:ascii="宋体" w:hAnsi="仿宋"/>
          <w:color w:val="000000"/>
          <w:kern w:val="0"/>
          <w:sz w:val="24"/>
          <w:szCs w:val="32"/>
        </w:rPr>
        <w:t>（四）计划财务处应根据提供的资产相关凭证或文件，及时进行账务处理。</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第二十三条</w:t>
      </w:r>
      <w:r>
        <w:rPr>
          <w:rFonts w:hint="eastAsia" w:ascii="宋体" w:hAnsi="仿宋"/>
          <w:kern w:val="0"/>
          <w:sz w:val="24"/>
          <w:szCs w:val="32"/>
        </w:rPr>
        <w:t xml:space="preserve">  </w:t>
      </w:r>
      <w:r>
        <w:rPr>
          <w:rFonts w:hint="eastAsia" w:ascii="宋体" w:hAnsi="仿宋"/>
          <w:color w:val="000000"/>
          <w:kern w:val="0"/>
          <w:sz w:val="24"/>
          <w:szCs w:val="32"/>
        </w:rPr>
        <w:t>计划财务处</w:t>
      </w:r>
      <w:r>
        <w:rPr>
          <w:rFonts w:hint="eastAsia" w:ascii="宋体" w:hAnsi="仿宋"/>
          <w:kern w:val="0"/>
          <w:sz w:val="24"/>
          <w:szCs w:val="32"/>
        </w:rPr>
        <w:t>要妥善保管好资产管理文件、资料、产权登记表，建立健全学校国有资产产权登记档案，掌握国有资产存量增减变动情况。</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资产使用</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第二十四条</w:t>
      </w:r>
      <w:r>
        <w:rPr>
          <w:rFonts w:hint="eastAsia" w:ascii="宋体" w:hAnsi="仿宋"/>
          <w:kern w:val="0"/>
          <w:sz w:val="24"/>
          <w:szCs w:val="32"/>
        </w:rPr>
        <w:t xml:space="preserve">  学校国有资产的使用在首先保证学校履行职责和教育事业发展需要的基础上，经审批同意，可以进行出租（无形资产对外投资）。</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第二十五条</w:t>
      </w:r>
      <w:r>
        <w:rPr>
          <w:rFonts w:hint="eastAsia" w:ascii="宋体" w:hAnsi="仿宋"/>
          <w:kern w:val="0"/>
          <w:sz w:val="24"/>
          <w:szCs w:val="32"/>
        </w:rPr>
        <w:t xml:space="preserve">  学校建立健全资产验收登记、领用保管、变动收回、清查盘点等内部管理制度，做好资产的日常管理工作。</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第二十六条</w:t>
      </w:r>
      <w:r>
        <w:rPr>
          <w:rFonts w:hint="eastAsia" w:ascii="宋体" w:hAnsi="仿宋"/>
          <w:kern w:val="0"/>
          <w:sz w:val="24"/>
          <w:szCs w:val="32"/>
        </w:rPr>
        <w:t xml:space="preserve">  学校各部门应认真做好国有资产日常管理工作，做到责任到人。资产使用人对资产负有保管责任，确保资产的完整和安全。资产因校内调剂、使用人员变更、使用部门调整等发生变动，以及资产因闲置、待报废、使用人员退休、离职等收回时，应及时进行变更登记。</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第二十七条</w:t>
      </w:r>
      <w:r>
        <w:rPr>
          <w:rFonts w:hint="eastAsia" w:ascii="宋体" w:hAnsi="仿宋"/>
          <w:kern w:val="0"/>
          <w:sz w:val="24"/>
          <w:szCs w:val="32"/>
        </w:rPr>
        <w:t xml:space="preserve">  资产管理部门与计划财务处定期对资产实物账和财务账进行账目核对，做到账账相符，同时应督促各部门做好资产实物管理工作，做到账卡相符、账实相符。</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000000"/>
          <w:kern w:val="0"/>
          <w:sz w:val="24"/>
          <w:szCs w:val="32"/>
        </w:rPr>
        <w:t>第二十八条</w:t>
      </w:r>
      <w:r>
        <w:rPr>
          <w:rFonts w:hint="eastAsia" w:ascii="宋体" w:hAnsi="仿宋"/>
          <w:color w:val="000000"/>
          <w:kern w:val="0"/>
          <w:sz w:val="24"/>
          <w:szCs w:val="32"/>
        </w:rPr>
        <w:t xml:space="preserve">  学校国有资产对外出租（投资）的，应当进行必要的可行性论证，并严格按照财政部门规定的权限和程序履行审批手续。学校资产出租原则上实行公开招租，租赁双方必须签订租赁合同。</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000000"/>
          <w:kern w:val="0"/>
          <w:sz w:val="24"/>
          <w:szCs w:val="32"/>
        </w:rPr>
        <w:t>第二十九条</w:t>
      </w:r>
      <w:r>
        <w:rPr>
          <w:rFonts w:hint="eastAsia" w:ascii="宋体" w:hAnsi="仿宋"/>
          <w:color w:val="000000"/>
          <w:kern w:val="0"/>
          <w:sz w:val="24"/>
          <w:szCs w:val="32"/>
        </w:rPr>
        <w:t xml:space="preserve">  学校各部门和个人不准利用占有、使用的国有资产对外提供担保。</w:t>
      </w:r>
    </w:p>
    <w:p>
      <w:pPr>
        <w:widowControl/>
        <w:adjustRightInd w:val="0"/>
        <w:snapToGrid w:val="0"/>
        <w:spacing w:line="480" w:lineRule="exact"/>
        <w:ind w:firstLine="482" w:firstLineChars="200"/>
        <w:rPr>
          <w:rFonts w:ascii="宋体" w:hAnsi="仿宋"/>
          <w:color w:val="000000"/>
          <w:kern w:val="0"/>
          <w:sz w:val="24"/>
          <w:szCs w:val="32"/>
        </w:rPr>
      </w:pPr>
      <w:r>
        <w:rPr>
          <w:rFonts w:hint="eastAsia" w:ascii="宋体" w:hAnsi="仿宋"/>
          <w:b/>
          <w:bCs/>
          <w:color w:val="000000"/>
          <w:kern w:val="0"/>
          <w:sz w:val="24"/>
          <w:szCs w:val="32"/>
        </w:rPr>
        <w:t>第三十条</w:t>
      </w:r>
      <w:r>
        <w:rPr>
          <w:rFonts w:hint="eastAsia" w:ascii="宋体" w:hAnsi="仿宋"/>
          <w:color w:val="000000"/>
          <w:kern w:val="0"/>
          <w:sz w:val="24"/>
          <w:szCs w:val="32"/>
        </w:rPr>
        <w:t xml:space="preserve">  学校加强对无形资产的管理。</w:t>
      </w:r>
      <w:r>
        <w:rPr>
          <w:rFonts w:hint="eastAsia" w:ascii="宋体" w:hAnsi="仿宋"/>
          <w:kern w:val="0"/>
          <w:sz w:val="24"/>
          <w:szCs w:val="32"/>
        </w:rPr>
        <w:t>科学研究管理处</w:t>
      </w:r>
      <w:r>
        <w:rPr>
          <w:rFonts w:hint="eastAsia" w:ascii="宋体" w:hAnsi="仿宋"/>
          <w:color w:val="000000"/>
          <w:kern w:val="0"/>
          <w:sz w:val="24"/>
          <w:szCs w:val="32"/>
        </w:rPr>
        <w:t>要合理运用无形资产，促进科技成果转化。对转让无形资产或利用无形资产对外投资的，要进行合理计价，按照资产处置、资产评估的有关规定执行，保证学校的正当权益。</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第三十一条</w:t>
      </w:r>
      <w:r>
        <w:rPr>
          <w:rFonts w:hint="eastAsia" w:ascii="宋体" w:hAnsi="仿宋"/>
          <w:kern w:val="0"/>
          <w:sz w:val="24"/>
          <w:szCs w:val="32"/>
        </w:rPr>
        <w:t xml:space="preserve">  学校各部门要优化资产配置,做到物尽其用, 最大限度发挥资产的使用效益。对长期闲置不用或使用效益低的资产,资产管理部门根据情况在校内调剂使用，并报计划财务处进行账务处理。</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资产处置与资产收益</w:t>
      </w:r>
    </w:p>
    <w:p>
      <w:pPr>
        <w:widowControl/>
        <w:adjustRightInd w:val="0"/>
        <w:snapToGrid w:val="0"/>
        <w:spacing w:line="480" w:lineRule="exact"/>
        <w:rPr>
          <w:rFonts w:ascii="宋体" w:hAnsi="仿宋"/>
          <w:color w:val="000000"/>
          <w:kern w:val="0"/>
          <w:sz w:val="24"/>
          <w:szCs w:val="32"/>
        </w:rPr>
      </w:pP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color w:val="000000"/>
          <w:kern w:val="0"/>
          <w:sz w:val="24"/>
          <w:szCs w:val="32"/>
        </w:rPr>
        <w:t>第三十二条</w:t>
      </w:r>
      <w:r>
        <w:rPr>
          <w:rFonts w:hint="eastAsia" w:ascii="宋体" w:hAnsi="仿宋"/>
          <w:bCs/>
          <w:color w:val="000000"/>
          <w:kern w:val="0"/>
          <w:sz w:val="24"/>
          <w:szCs w:val="32"/>
        </w:rPr>
        <w:t xml:space="preserve">  </w:t>
      </w:r>
      <w:r>
        <w:rPr>
          <w:rFonts w:hint="eastAsia" w:ascii="宋体" w:hAnsi="仿宋"/>
          <w:kern w:val="0"/>
          <w:sz w:val="24"/>
          <w:szCs w:val="32"/>
        </w:rPr>
        <w:t>学校各部门处置资产（包括无偿调拨、转让、对外捐赠、 出售、出让、置换、货币性资产损失核销、报废报损等）应按国家有关法律法规和上级国有资产管理部门的有关规定，由计划财务处统一办理报批手续。任何单位和个人未经批准，不得自行处置学校资产。</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第三十三条</w:t>
      </w:r>
      <w:r>
        <w:rPr>
          <w:rFonts w:hint="eastAsia" w:ascii="宋体" w:hAnsi="仿宋"/>
          <w:kern w:val="0"/>
          <w:sz w:val="24"/>
          <w:szCs w:val="32"/>
        </w:rPr>
        <w:t xml:space="preserve">  计划财务处应按规定及时办理产权变更或注销手续。相关会计账目的凭证根据资产处置批复，由计划财务处及时进行调整。</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第三十四条</w:t>
      </w:r>
      <w:r>
        <w:rPr>
          <w:rFonts w:hint="eastAsia" w:ascii="宋体" w:hAnsi="仿宋"/>
          <w:kern w:val="0"/>
          <w:sz w:val="24"/>
          <w:szCs w:val="32"/>
        </w:rPr>
        <w:t xml:space="preserve">  学校资产收益包括资产有偿使用收益和资产处置收益。资产有偿使用收益包括对外投资取得的投资收益、经营承包上缴收益、资产出租取得的租金收入等；资产处置收益包括资产出售、出让、转让收入以及资产报废报损残值变价收入等。</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第三十五条</w:t>
      </w:r>
      <w:r>
        <w:rPr>
          <w:rFonts w:hint="eastAsia" w:ascii="宋体" w:hAnsi="仿宋"/>
          <w:kern w:val="0"/>
          <w:sz w:val="24"/>
          <w:szCs w:val="32"/>
        </w:rPr>
        <w:t xml:space="preserve">  学校按照相关管理规定，将资产收益上缴财政，实行“收支两条线”管理。</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资产评估</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第三十六条</w:t>
      </w:r>
      <w:r>
        <w:rPr>
          <w:rFonts w:hint="eastAsia" w:ascii="宋体" w:hAnsi="仿宋"/>
          <w:kern w:val="0"/>
          <w:sz w:val="24"/>
          <w:szCs w:val="32"/>
        </w:rPr>
        <w:t xml:space="preserve">  学校占有、使用的国有资产有下列情形之一的，必须进行资产评估：</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（一）以非货币性资产对外投资的学校资产；</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（二）拍卖、转让、置换的学校资产；</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（三）确定涉讼资产价值的学校资产；</w:t>
      </w:r>
    </w:p>
    <w:p>
      <w:pPr>
        <w:widowControl/>
        <w:adjustRightInd w:val="0"/>
        <w:snapToGrid w:val="0"/>
        <w:spacing w:line="480" w:lineRule="exact"/>
        <w:ind w:firstLine="480" w:firstLineChars="200"/>
        <w:rPr>
          <w:rFonts w:ascii="宋体" w:hAnsi="仿宋"/>
          <w:kern w:val="0"/>
          <w:sz w:val="24"/>
          <w:szCs w:val="32"/>
        </w:rPr>
      </w:pPr>
      <w:r>
        <w:rPr>
          <w:rFonts w:hint="eastAsia" w:ascii="宋体" w:hAnsi="仿宋"/>
          <w:kern w:val="0"/>
          <w:sz w:val="24"/>
          <w:szCs w:val="32"/>
        </w:rPr>
        <w:t>（四）依照国家法律法规必须进行资产评估的其他情形。</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第三十七条</w:t>
      </w:r>
      <w:r>
        <w:rPr>
          <w:rFonts w:hint="eastAsia" w:ascii="宋体" w:hAnsi="仿宋"/>
          <w:kern w:val="0"/>
          <w:sz w:val="24"/>
          <w:szCs w:val="32"/>
        </w:rPr>
        <w:t xml:space="preserve">  学校资产评估按国家有关法律、法规办理资产评估的立项审批、评估、确认等手续。</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第三十八条</w:t>
      </w:r>
      <w:r>
        <w:rPr>
          <w:rFonts w:hint="eastAsia" w:ascii="宋体" w:hAnsi="仿宋"/>
          <w:kern w:val="0"/>
          <w:sz w:val="24"/>
          <w:szCs w:val="32"/>
        </w:rPr>
        <w:t xml:space="preserve">  资产管理部门代表学校，按相关规定委托具有资产评估资质的社会评估机构进行资产评估。</w:t>
      </w:r>
    </w:p>
    <w:p>
      <w:pPr>
        <w:widowControl/>
        <w:adjustRightInd w:val="0"/>
        <w:snapToGrid w:val="0"/>
        <w:spacing w:line="480" w:lineRule="exact"/>
        <w:jc w:val="center"/>
        <w:rPr>
          <w:rFonts w:ascii="宋体" w:hAnsi="仿宋"/>
          <w:color w:val="000000"/>
          <w:kern w:val="0"/>
          <w:sz w:val="24"/>
          <w:szCs w:val="32"/>
        </w:rPr>
      </w:pPr>
      <w:r>
        <w:rPr>
          <w:rFonts w:hint="eastAsia" w:ascii="黑体" w:hAnsi="黑体" w:eastAsia="黑体" w:cs="黑体"/>
          <w:color w:val="000000"/>
          <w:kern w:val="0"/>
          <w:sz w:val="32"/>
          <w:szCs w:val="32"/>
        </w:rPr>
        <w:t>第九章 资产清查</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第三十九条</w:t>
      </w:r>
      <w:r>
        <w:rPr>
          <w:rFonts w:hint="eastAsia" w:ascii="宋体" w:hAnsi="仿宋"/>
          <w:sz w:val="24"/>
          <w:szCs w:val="32"/>
        </w:rPr>
        <w:t xml:space="preserve">  资产清查是加强学校资产基础管理的重要措施。学校各部门应按要求做好资产清查工作。</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 xml:space="preserve">第四十条  </w:t>
      </w:r>
      <w:r>
        <w:rPr>
          <w:rFonts w:hint="eastAsia" w:ascii="宋体" w:hAnsi="仿宋"/>
          <w:sz w:val="24"/>
          <w:szCs w:val="32"/>
        </w:rPr>
        <w:t>学校在下列情况之一，应进行资产清查：</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（一）根据上级单位要求，学校按有关规定进行的资产清查。</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（二）会计信息严重失真或者国有资产出现重大流失。</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（三）因特殊情况，必须进行资产清查。</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 xml:space="preserve">第四十一条  </w:t>
      </w:r>
      <w:r>
        <w:rPr>
          <w:rFonts w:hint="eastAsia" w:ascii="宋体" w:hAnsi="仿宋"/>
          <w:sz w:val="24"/>
          <w:szCs w:val="32"/>
        </w:rPr>
        <w:t>学校资产清查工作的主要内容和要求是：</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（一）财产清查。要对各类资产、负债和所有者权益进行全面的清理、登记、核对和查实，对查出的问题，应如实上报。</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（二）价值重估。价值重估是指在资产清查工作中，对账实背离较大的主要国有资产价值按国家统一规定的方法和标准进行重新估价。对盘盈和接受捐赠的无凭证国有资产也要进行价值重估。</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（三）资金核实。在资金核实工作中，资产清查机构必须准确核实资产盘盈、财产损失和资金挂账，按规定程序做好申报和审批，认真核实国有资产价值总量。</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第四十二条</w:t>
      </w:r>
      <w:r>
        <w:rPr>
          <w:rFonts w:hint="eastAsia" w:ascii="宋体" w:hAnsi="仿宋"/>
          <w:sz w:val="24"/>
          <w:szCs w:val="32"/>
        </w:rPr>
        <w:t xml:space="preserve">  学校开展资产清查工作，按下列程序进行：</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（一）在学校资产管理领导小组的领导下，成立资产清查领导机构，制定具体工作方案。</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（二）认真学习资产清查工作的各项方针政策和制度、办法，选择合适的清查时间。</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（三）依据确定的资产清查工作内容和工作要求，对各类资产进行全面清查，按规定做好价值重估、资金核实等阶段的工作。</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（四）整理有关材料，如实填报有关资产清查报表、资金核实申报表等，报请资产清查领导机构审批。</w:t>
      </w:r>
    </w:p>
    <w:p>
      <w:pPr>
        <w:adjustRightInd w:val="0"/>
        <w:snapToGrid w:val="0"/>
        <w:spacing w:line="480" w:lineRule="exact"/>
        <w:ind w:firstLine="480" w:firstLineChars="200"/>
        <w:rPr>
          <w:rFonts w:ascii="宋体" w:hAnsi="仿宋"/>
          <w:sz w:val="24"/>
          <w:szCs w:val="32"/>
        </w:rPr>
      </w:pPr>
      <w:r>
        <w:rPr>
          <w:rFonts w:hint="eastAsia" w:ascii="宋体" w:hAnsi="仿宋"/>
          <w:sz w:val="24"/>
          <w:szCs w:val="32"/>
        </w:rPr>
        <w:t>（五）依据衢州市财政局的批复结果，进行有关账务处理。</w:t>
      </w:r>
    </w:p>
    <w:p>
      <w:pPr>
        <w:adjustRightInd w:val="0"/>
        <w:snapToGrid w:val="0"/>
        <w:spacing w:line="480" w:lineRule="exact"/>
        <w:ind w:firstLine="482" w:firstLineChars="200"/>
        <w:rPr>
          <w:rFonts w:ascii="宋体" w:hAnsi="仿宋"/>
          <w:sz w:val="24"/>
          <w:szCs w:val="32"/>
        </w:rPr>
      </w:pPr>
      <w:r>
        <w:rPr>
          <w:rFonts w:hint="eastAsia" w:ascii="宋体" w:hAnsi="仿宋"/>
          <w:b/>
          <w:bCs/>
          <w:sz w:val="24"/>
          <w:szCs w:val="32"/>
        </w:rPr>
        <w:t>第四十三条</w:t>
      </w:r>
      <w:r>
        <w:rPr>
          <w:rFonts w:hint="eastAsia" w:ascii="宋体" w:hAnsi="仿宋"/>
          <w:sz w:val="24"/>
          <w:szCs w:val="32"/>
        </w:rPr>
        <w:t xml:space="preserve">  各部门按照学校统一部署，负责组织本部门资产清查工作。</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第四十四条</w:t>
      </w:r>
      <w:r>
        <w:rPr>
          <w:rFonts w:hint="eastAsia" w:ascii="宋体" w:hAnsi="仿宋"/>
          <w:kern w:val="0"/>
          <w:sz w:val="24"/>
          <w:szCs w:val="32"/>
        </w:rPr>
        <w:t xml:space="preserve">  学校定期对固定资产实物进行清查盘点。</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资产信息管理与统计报告</w:t>
      </w:r>
    </w:p>
    <w:p>
      <w:pPr>
        <w:adjustRightInd w:val="0"/>
        <w:snapToGrid w:val="0"/>
        <w:spacing w:line="480" w:lineRule="exact"/>
        <w:ind w:firstLine="482" w:firstLineChars="200"/>
        <w:rPr>
          <w:rFonts w:ascii="宋体" w:hAnsi="仿宋"/>
          <w:kern w:val="0"/>
          <w:sz w:val="24"/>
          <w:szCs w:val="32"/>
        </w:rPr>
      </w:pPr>
      <w:r>
        <w:rPr>
          <w:rFonts w:hint="eastAsia" w:ascii="宋体" w:hAnsi="仿宋"/>
          <w:b/>
          <w:bCs/>
          <w:color w:val="000000"/>
          <w:kern w:val="0"/>
          <w:sz w:val="24"/>
          <w:szCs w:val="32"/>
        </w:rPr>
        <w:t>第</w:t>
      </w:r>
      <w:r>
        <w:rPr>
          <w:rFonts w:hint="eastAsia" w:ascii="宋体" w:hAnsi="仿宋"/>
          <w:b/>
          <w:bCs/>
          <w:kern w:val="0"/>
          <w:sz w:val="24"/>
          <w:szCs w:val="32"/>
        </w:rPr>
        <w:t>四十五条</w:t>
      </w:r>
      <w:r>
        <w:rPr>
          <w:rFonts w:hint="eastAsia" w:ascii="宋体" w:hAnsi="仿宋"/>
          <w:kern w:val="0"/>
          <w:sz w:val="24"/>
          <w:szCs w:val="32"/>
        </w:rPr>
        <w:t xml:space="preserve">  学校按照国有资产信息化管理要求，建立校内统一的资产管理信息系统，对学校资产实施网络信息化管理，关注资产存量和增量的变动，及时反映学校资产的状态，实现资产的动态管理，为建立资产资源共享、共用机制提供基础，为学校内部管理和决策提供基础数据和有效依据，为编制和审核部门预算提供必要的信息支持。</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第四十六条</w:t>
      </w:r>
      <w:r>
        <w:rPr>
          <w:rFonts w:hint="eastAsia" w:ascii="宋体" w:hAnsi="仿宋"/>
          <w:kern w:val="0"/>
          <w:sz w:val="24"/>
          <w:szCs w:val="32"/>
        </w:rPr>
        <w:t xml:space="preserve">  计划财务处应做好学校资产管理信息系统与衢州市行政事业单位资产管理信息系统的联网对接，及时将资产数据及变动信息导入衢州市行政事业单位资产管理信息系统，并按规定程序通过信息系统报送各项资产审批业务，提高工作效率。</w:t>
      </w:r>
    </w:p>
    <w:p>
      <w:pPr>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第四十七条</w:t>
      </w:r>
      <w:r>
        <w:rPr>
          <w:rFonts w:hint="eastAsia" w:ascii="宋体" w:hAnsi="仿宋"/>
          <w:kern w:val="0"/>
          <w:sz w:val="24"/>
          <w:szCs w:val="32"/>
        </w:rPr>
        <w:t xml:space="preserve">  计划财务处应会同资产管理部门定期核对学校资产数据，检查、分析资产管理信息系统中的资产信息，及时调整差异，确保资产数据的准确，做到账账、账卡、卡实相符。</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cs="Arial"/>
          <w:b/>
          <w:bCs/>
          <w:color w:val="000000"/>
          <w:sz w:val="24"/>
          <w:szCs w:val="32"/>
        </w:rPr>
        <w:t>第四十八条</w:t>
      </w:r>
      <w:r>
        <w:rPr>
          <w:rFonts w:hint="eastAsia" w:ascii="宋体" w:hAnsi="仿宋"/>
          <w:b/>
          <w:bCs/>
          <w:kern w:val="0"/>
          <w:sz w:val="24"/>
          <w:szCs w:val="32"/>
        </w:rPr>
        <w:t xml:space="preserve"> </w:t>
      </w:r>
      <w:r>
        <w:rPr>
          <w:rFonts w:hint="eastAsia" w:ascii="宋体" w:hAnsi="仿宋"/>
          <w:kern w:val="0"/>
          <w:sz w:val="24"/>
          <w:szCs w:val="32"/>
        </w:rPr>
        <w:t xml:space="preserve"> 计划财务处应按照上级部门的要求，及时上报学校资产状况统计报告,并作为编制下年度财政预算的重要依据。学校每年编制年度资产报告书。</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考核与奖惩</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第四十九条</w:t>
      </w:r>
      <w:r>
        <w:rPr>
          <w:rFonts w:hint="eastAsia" w:ascii="宋体" w:hAnsi="仿宋"/>
          <w:kern w:val="0"/>
          <w:sz w:val="24"/>
          <w:szCs w:val="32"/>
        </w:rPr>
        <w:t xml:space="preserve">  学校资产管理部门、资产使用单位及工作人员,都有管好用好国有资产的义务和责任，依法维护其安全、完整。</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第五十条</w:t>
      </w:r>
      <w:r>
        <w:rPr>
          <w:rFonts w:hint="eastAsia" w:ascii="宋体" w:hAnsi="仿宋"/>
          <w:kern w:val="0"/>
          <w:sz w:val="24"/>
          <w:szCs w:val="32"/>
        </w:rPr>
        <w:t xml:space="preserve">  学校建立资产管理奖惩制度，对资产管理工作中成绩突出的部门和个人给予表彰；对工作失责，造成国有资产损失的，按《浙江省国有资产流失查处试行办法》（省政府令第149号）规定予以处理。</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 xml:space="preserve">第五十一条  </w:t>
      </w:r>
      <w:r>
        <w:rPr>
          <w:rFonts w:hint="eastAsia" w:ascii="宋体" w:hAnsi="仿宋"/>
          <w:kern w:val="0"/>
          <w:sz w:val="24"/>
          <w:szCs w:val="32"/>
        </w:rPr>
        <w:t>对所使用的资产,具有不如实进行登记或填报、擅自转让或处置资产、擅自用于经营投资、以各种名目侵占资产和谋取私利、</w:t>
      </w:r>
      <w:r>
        <w:rPr>
          <w:rFonts w:hint="eastAsia" w:ascii="宋体" w:hAnsi="仿宋"/>
          <w:color w:val="202020"/>
          <w:kern w:val="0"/>
          <w:sz w:val="24"/>
          <w:szCs w:val="32"/>
        </w:rPr>
        <w:t>不按规定上缴资产收益、</w:t>
      </w:r>
      <w:r>
        <w:rPr>
          <w:rFonts w:hint="eastAsia" w:ascii="宋体" w:hAnsi="仿宋"/>
          <w:kern w:val="0"/>
          <w:sz w:val="24"/>
          <w:szCs w:val="32"/>
        </w:rPr>
        <w:t>弄虚作假</w:t>
      </w:r>
      <w:r>
        <w:rPr>
          <w:rFonts w:hint="eastAsia" w:ascii="宋体" w:hAnsi="仿宋"/>
          <w:color w:val="202020"/>
          <w:kern w:val="0"/>
          <w:sz w:val="24"/>
          <w:szCs w:val="32"/>
        </w:rPr>
        <w:t>等行为的单位</w:t>
      </w:r>
      <w:r>
        <w:rPr>
          <w:rFonts w:hint="eastAsia" w:ascii="宋体" w:hAnsi="仿宋"/>
          <w:kern w:val="0"/>
          <w:sz w:val="24"/>
          <w:szCs w:val="32"/>
        </w:rPr>
        <w:t>和个人,根据情节，给予通报批评或行政处分。</w:t>
      </w:r>
    </w:p>
    <w:p>
      <w:pPr>
        <w:widowControl/>
        <w:numPr>
          <w:ilvl w:val="0"/>
          <w:numId w:val="11"/>
        </w:numPr>
        <w:adjustRightInd w:val="0"/>
        <w:snapToGrid w:val="0"/>
        <w:spacing w:line="48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附则</w:t>
      </w:r>
    </w:p>
    <w:p>
      <w:pPr>
        <w:widowControl/>
        <w:adjustRightInd w:val="0"/>
        <w:snapToGrid w:val="0"/>
        <w:spacing w:line="480" w:lineRule="exact"/>
        <w:ind w:firstLine="482" w:firstLineChars="200"/>
        <w:rPr>
          <w:rFonts w:ascii="宋体" w:hAnsi="仿宋"/>
          <w:kern w:val="0"/>
          <w:sz w:val="24"/>
          <w:szCs w:val="32"/>
        </w:rPr>
      </w:pPr>
      <w:r>
        <w:rPr>
          <w:rFonts w:hint="eastAsia" w:ascii="宋体" w:hAnsi="仿宋"/>
          <w:b/>
          <w:bCs/>
          <w:kern w:val="0"/>
          <w:sz w:val="24"/>
          <w:szCs w:val="32"/>
        </w:rPr>
        <w:t xml:space="preserve">第五十二条  </w:t>
      </w:r>
      <w:r>
        <w:rPr>
          <w:rFonts w:hint="eastAsia" w:ascii="宋体" w:hAnsi="仿宋"/>
          <w:kern w:val="0"/>
          <w:sz w:val="24"/>
          <w:szCs w:val="32"/>
        </w:rPr>
        <w:t>办法自发布之日起施行。</w:t>
      </w:r>
      <w:r>
        <w:rPr>
          <w:rFonts w:hint="eastAsia" w:ascii="宋体" w:hAnsi="仿宋" w:cs="Arial"/>
          <w:color w:val="000000"/>
          <w:sz w:val="24"/>
          <w:szCs w:val="32"/>
        </w:rPr>
        <w:t>未尽事宜，根据国家有关文件予以补充，</w:t>
      </w:r>
      <w:r>
        <w:rPr>
          <w:rFonts w:hint="eastAsia" w:ascii="宋体" w:hAnsi="仿宋"/>
          <w:kern w:val="0"/>
          <w:sz w:val="24"/>
          <w:szCs w:val="32"/>
        </w:rPr>
        <w:t>由计划财务处负责解释。</w:t>
      </w:r>
    </w:p>
    <w:p>
      <w:pPr>
        <w:widowControl/>
        <w:jc w:val="left"/>
      </w:pPr>
      <w:r>
        <w:br w:type="page"/>
      </w:r>
    </w:p>
    <w:p>
      <w:pPr>
        <w:pStyle w:val="2"/>
      </w:pPr>
      <w:bookmarkStart w:id="77" w:name="_Toc3973"/>
      <w:bookmarkStart w:id="78" w:name="_Toc3774"/>
      <w:bookmarkStart w:id="79" w:name="_Toc18946"/>
      <w:bookmarkStart w:id="80" w:name="_Toc22451"/>
      <w:bookmarkStart w:id="81" w:name="_Toc46402442"/>
      <w:r>
        <w:rPr>
          <w:rFonts w:hint="eastAsia"/>
        </w:rPr>
        <w:t>衢州学院采购与招标管理实施办法</w:t>
      </w:r>
      <w:bookmarkEnd w:id="77"/>
      <w:bookmarkEnd w:id="78"/>
      <w:bookmarkEnd w:id="79"/>
      <w:bookmarkEnd w:id="80"/>
      <w:bookmarkEnd w:id="81"/>
    </w:p>
    <w:p>
      <w:pPr>
        <w:numPr>
          <w:ilvl w:val="0"/>
          <w:numId w:val="12"/>
        </w:numPr>
        <w:adjustRightInd w:val="0"/>
        <w:snapToGrid w:val="0"/>
        <w:spacing w:line="460" w:lineRule="exact"/>
        <w:jc w:val="center"/>
        <w:rPr>
          <w:rFonts w:ascii="黑体" w:hAnsi="黑体" w:eastAsia="黑体" w:cs="黑体"/>
          <w:sz w:val="32"/>
          <w:szCs w:val="32"/>
        </w:rPr>
      </w:pPr>
      <w:r>
        <w:rPr>
          <w:rFonts w:hint="eastAsia" w:ascii="黑体" w:hAnsi="黑体" w:eastAsia="黑体" w:cs="黑体"/>
          <w:sz w:val="32"/>
          <w:szCs w:val="32"/>
        </w:rPr>
        <w:t xml:space="preserve"> 总则</w:t>
      </w:r>
    </w:p>
    <w:p>
      <w:pPr>
        <w:adjustRightInd w:val="0"/>
        <w:snapToGrid w:val="0"/>
        <w:spacing w:line="460" w:lineRule="exact"/>
        <w:ind w:firstLine="482" w:firstLineChars="200"/>
        <w:rPr>
          <w:rFonts w:ascii="宋体" w:hAnsi="宋体"/>
          <w:sz w:val="24"/>
        </w:rPr>
      </w:pPr>
      <w:r>
        <w:rPr>
          <w:rFonts w:hint="eastAsia" w:ascii="宋体" w:hAnsi="宋体"/>
          <w:b/>
          <w:bCs/>
          <w:sz w:val="24"/>
        </w:rPr>
        <w:t>第一条</w:t>
      </w:r>
      <w:r>
        <w:rPr>
          <w:rFonts w:hint="eastAsia" w:ascii="宋体" w:hAnsi="宋体"/>
          <w:sz w:val="24"/>
        </w:rPr>
        <w:t xml:space="preserve">  为了加强学校采购管理，统筹和规范采购活动，提高资金使用绩效和采购工作效率，确保采购项目质量，促进廉政建设，依据《中华人民共和国政府采购法》、《中华人民共和国招标投标法》、《中华人民共和国招标投标法实施条例》和《浙江省招标投标条例》等法律法规和学校有关制度，特制定本办法。</w:t>
      </w:r>
    </w:p>
    <w:p>
      <w:pPr>
        <w:adjustRightInd w:val="0"/>
        <w:snapToGrid w:val="0"/>
        <w:spacing w:line="460" w:lineRule="exact"/>
        <w:ind w:firstLine="482" w:firstLineChars="200"/>
        <w:rPr>
          <w:rFonts w:ascii="宋体" w:hAnsi="宋体"/>
          <w:sz w:val="24"/>
        </w:rPr>
      </w:pPr>
      <w:r>
        <w:rPr>
          <w:rFonts w:hint="eastAsia" w:ascii="宋体" w:hAnsi="宋体"/>
          <w:b/>
          <w:bCs/>
          <w:sz w:val="24"/>
        </w:rPr>
        <w:t>第二条</w:t>
      </w:r>
      <w:r>
        <w:rPr>
          <w:rFonts w:hint="eastAsia" w:ascii="宋体" w:hAnsi="宋体"/>
          <w:sz w:val="24"/>
        </w:rPr>
        <w:t xml:space="preserve">  学校采购工作应当遵循公开、公平、公正、廉洁和诚实信用的原则，采购项目应当严格按规章制度审批和执行。</w:t>
      </w:r>
    </w:p>
    <w:p>
      <w:pPr>
        <w:adjustRightInd w:val="0"/>
        <w:snapToGrid w:val="0"/>
        <w:spacing w:line="460" w:lineRule="exact"/>
        <w:ind w:firstLine="482" w:firstLineChars="200"/>
        <w:rPr>
          <w:rFonts w:ascii="宋体" w:hAnsi="宋体"/>
          <w:sz w:val="24"/>
        </w:rPr>
      </w:pPr>
      <w:r>
        <w:rPr>
          <w:rFonts w:hint="eastAsia" w:ascii="宋体" w:hAnsi="宋体"/>
          <w:b/>
          <w:bCs/>
          <w:sz w:val="24"/>
        </w:rPr>
        <w:t>第三条</w:t>
      </w:r>
      <w:r>
        <w:rPr>
          <w:rFonts w:hint="eastAsia" w:ascii="宋体" w:hAnsi="宋体"/>
          <w:sz w:val="24"/>
        </w:rPr>
        <w:t xml:space="preserve">  凡学校各二级学院（中心）、部门（简称部门）发生货物、服务和工程类项目的采购行为均须纳入本管理办法范围。</w:t>
      </w:r>
    </w:p>
    <w:p>
      <w:pPr>
        <w:adjustRightInd w:val="0"/>
        <w:snapToGrid w:val="0"/>
        <w:spacing w:line="460" w:lineRule="exact"/>
        <w:ind w:firstLine="482" w:firstLineChars="200"/>
        <w:rPr>
          <w:rFonts w:ascii="宋体" w:hAnsi="宋体"/>
          <w:sz w:val="24"/>
        </w:rPr>
      </w:pPr>
      <w:r>
        <w:rPr>
          <w:rFonts w:hint="eastAsia" w:ascii="宋体" w:hAnsi="宋体"/>
          <w:b/>
          <w:bCs/>
          <w:sz w:val="24"/>
        </w:rPr>
        <w:t>第四条</w:t>
      </w:r>
      <w:r>
        <w:rPr>
          <w:rFonts w:hint="eastAsia" w:ascii="宋体" w:hAnsi="宋体"/>
          <w:sz w:val="24"/>
        </w:rPr>
        <w:t xml:space="preserve">  学校采购活动凡与</w:t>
      </w:r>
      <w:r>
        <w:rPr>
          <w:rFonts w:ascii="宋体" w:hAnsi="宋体"/>
          <w:sz w:val="24"/>
        </w:rPr>
        <w:t>有关</w:t>
      </w:r>
      <w:r>
        <w:rPr>
          <w:rFonts w:hint="eastAsia" w:ascii="宋体" w:hAnsi="宋体"/>
          <w:sz w:val="24"/>
        </w:rPr>
        <w:t>法律法规和上级主管部门出台新规定相抵触的，一律从其规定执行</w:t>
      </w:r>
      <w:r>
        <w:rPr>
          <w:rFonts w:ascii="宋体" w:hAnsi="宋体"/>
          <w:sz w:val="24"/>
        </w:rPr>
        <w:t>。</w:t>
      </w:r>
    </w:p>
    <w:p>
      <w:pPr>
        <w:numPr>
          <w:ilvl w:val="0"/>
          <w:numId w:val="12"/>
        </w:numPr>
        <w:adjustRightInd w:val="0"/>
        <w:snapToGrid w:val="0"/>
        <w:spacing w:line="460" w:lineRule="exact"/>
        <w:jc w:val="center"/>
        <w:rPr>
          <w:rFonts w:ascii="黑体" w:hAnsi="黑体" w:eastAsia="黑体" w:cs="黑体"/>
          <w:sz w:val="32"/>
          <w:szCs w:val="32"/>
        </w:rPr>
      </w:pPr>
      <w:r>
        <w:rPr>
          <w:rFonts w:hint="eastAsia" w:ascii="黑体" w:hAnsi="黑体" w:eastAsia="黑体" w:cs="黑体"/>
          <w:sz w:val="32"/>
          <w:szCs w:val="32"/>
        </w:rPr>
        <w:t xml:space="preserve"> 采购组织机构与职责</w:t>
      </w:r>
    </w:p>
    <w:p>
      <w:pPr>
        <w:adjustRightInd w:val="0"/>
        <w:snapToGrid w:val="0"/>
        <w:spacing w:line="460" w:lineRule="exact"/>
        <w:ind w:firstLine="482" w:firstLineChars="200"/>
        <w:rPr>
          <w:rFonts w:ascii="宋体" w:hAnsi="宋体"/>
          <w:sz w:val="24"/>
        </w:rPr>
      </w:pPr>
      <w:r>
        <w:rPr>
          <w:rFonts w:hint="eastAsia" w:ascii="宋体" w:hAnsi="宋体"/>
          <w:b/>
          <w:bCs/>
          <w:sz w:val="24"/>
        </w:rPr>
        <w:t>第五条</w:t>
      </w:r>
      <w:r>
        <w:rPr>
          <w:rFonts w:hint="eastAsia" w:ascii="宋体" w:hAnsi="宋体"/>
          <w:sz w:val="24"/>
        </w:rPr>
        <w:t xml:space="preserve">  学校成立采购工作领导小组（简称领导小组），负责研究决定采购工作中的相关重要事项，统筹采购工作。领导小组由校领导及学校相关职能部门负责人组成。其主要职责有：</w:t>
      </w:r>
    </w:p>
    <w:p>
      <w:pPr>
        <w:adjustRightInd w:val="0"/>
        <w:snapToGrid w:val="0"/>
        <w:spacing w:line="460" w:lineRule="exact"/>
        <w:ind w:firstLine="480" w:firstLineChars="200"/>
        <w:rPr>
          <w:rFonts w:ascii="宋体" w:hAnsi="宋体"/>
          <w:sz w:val="24"/>
        </w:rPr>
      </w:pPr>
      <w:r>
        <w:rPr>
          <w:rFonts w:hint="eastAsia" w:ascii="宋体" w:hAnsi="宋体"/>
          <w:sz w:val="24"/>
        </w:rPr>
        <w:t>（一）贯彻执行国家有关招投标的法律、法规和政策；</w:t>
      </w:r>
    </w:p>
    <w:p>
      <w:pPr>
        <w:adjustRightInd w:val="0"/>
        <w:snapToGrid w:val="0"/>
        <w:spacing w:line="460" w:lineRule="exact"/>
        <w:ind w:firstLine="480" w:firstLineChars="200"/>
        <w:rPr>
          <w:rFonts w:ascii="宋体" w:hAnsi="宋体"/>
          <w:sz w:val="24"/>
        </w:rPr>
      </w:pPr>
      <w:r>
        <w:rPr>
          <w:rFonts w:hint="eastAsia" w:ascii="宋体" w:hAnsi="宋体"/>
          <w:sz w:val="24"/>
        </w:rPr>
        <w:t>（二）审定学校采购工作的规章制度及相关文件；</w:t>
      </w:r>
    </w:p>
    <w:p>
      <w:pPr>
        <w:adjustRightInd w:val="0"/>
        <w:snapToGrid w:val="0"/>
        <w:spacing w:line="460" w:lineRule="exact"/>
        <w:ind w:firstLine="480" w:firstLineChars="200"/>
        <w:rPr>
          <w:rFonts w:ascii="宋体" w:hAnsi="宋体"/>
          <w:sz w:val="24"/>
        </w:rPr>
      </w:pPr>
      <w:r>
        <w:rPr>
          <w:rFonts w:hint="eastAsia" w:ascii="宋体" w:hAnsi="宋体"/>
          <w:sz w:val="24"/>
        </w:rPr>
        <w:t>（三）研究决定学校采购工作中的重大事项；</w:t>
      </w:r>
    </w:p>
    <w:p>
      <w:pPr>
        <w:adjustRightInd w:val="0"/>
        <w:snapToGrid w:val="0"/>
        <w:spacing w:line="460" w:lineRule="exact"/>
        <w:ind w:firstLine="480" w:firstLineChars="200"/>
        <w:rPr>
          <w:rFonts w:ascii="宋体" w:hAnsi="宋体"/>
          <w:sz w:val="24"/>
        </w:rPr>
      </w:pPr>
      <w:r>
        <w:rPr>
          <w:rFonts w:hint="eastAsia" w:ascii="宋体" w:hAnsi="宋体"/>
          <w:sz w:val="24"/>
        </w:rPr>
        <w:t>（四）讨论处理采购工作中的有关问题。</w:t>
      </w:r>
    </w:p>
    <w:p>
      <w:pPr>
        <w:adjustRightInd w:val="0"/>
        <w:snapToGrid w:val="0"/>
        <w:spacing w:line="460" w:lineRule="exact"/>
        <w:ind w:firstLine="482" w:firstLineChars="200"/>
        <w:rPr>
          <w:rFonts w:ascii="宋体" w:hAnsi="宋体"/>
          <w:sz w:val="24"/>
        </w:rPr>
      </w:pPr>
      <w:r>
        <w:rPr>
          <w:rFonts w:hint="eastAsia" w:ascii="宋体" w:hAnsi="宋体"/>
          <w:b/>
          <w:bCs/>
          <w:sz w:val="24"/>
        </w:rPr>
        <w:t>第六条</w:t>
      </w:r>
      <w:r>
        <w:rPr>
          <w:rFonts w:hint="eastAsia" w:ascii="宋体" w:hAnsi="宋体"/>
          <w:sz w:val="24"/>
        </w:rPr>
        <w:t xml:space="preserve">  采购工作办公室（简称采购办）是接受采购工作领导小组领导的常设办事机构，负责学校采购具体组织实施工作。采购办由学校相关职能部门人员组成。其主要职责有：</w:t>
      </w:r>
    </w:p>
    <w:p>
      <w:pPr>
        <w:adjustRightInd w:val="0"/>
        <w:snapToGrid w:val="0"/>
        <w:spacing w:line="460" w:lineRule="exact"/>
        <w:ind w:firstLine="480" w:firstLineChars="200"/>
        <w:rPr>
          <w:rFonts w:ascii="宋体" w:hAnsi="宋体"/>
          <w:sz w:val="24"/>
        </w:rPr>
      </w:pPr>
      <w:r>
        <w:rPr>
          <w:rFonts w:hint="eastAsia" w:ascii="宋体" w:hAnsi="宋体"/>
          <w:sz w:val="24"/>
        </w:rPr>
        <w:t>（一）执行学校有关采购工作的规章制度、实施细则和工作流程，编制学校年度采购计划，召集领导小组会议；</w:t>
      </w:r>
    </w:p>
    <w:p>
      <w:pPr>
        <w:adjustRightInd w:val="0"/>
        <w:snapToGrid w:val="0"/>
        <w:spacing w:line="460" w:lineRule="exact"/>
        <w:ind w:firstLine="480" w:firstLineChars="200"/>
        <w:rPr>
          <w:rFonts w:ascii="宋体" w:hAnsi="宋体"/>
          <w:sz w:val="24"/>
        </w:rPr>
      </w:pPr>
      <w:r>
        <w:rPr>
          <w:rFonts w:hint="eastAsia" w:ascii="宋体" w:hAnsi="宋体"/>
          <w:sz w:val="24"/>
        </w:rPr>
        <w:t>（二）负责政府集中采购和委托采购项目的申报、联络、协调，配合上级采购办、公共资源交易中心或招标代理机构做好采购相关工作；</w:t>
      </w:r>
    </w:p>
    <w:p>
      <w:pPr>
        <w:adjustRightInd w:val="0"/>
        <w:snapToGrid w:val="0"/>
        <w:spacing w:line="460" w:lineRule="exact"/>
        <w:ind w:firstLine="480" w:firstLineChars="200"/>
        <w:rPr>
          <w:rFonts w:ascii="宋体" w:hAnsi="宋体"/>
          <w:sz w:val="24"/>
        </w:rPr>
      </w:pPr>
      <w:r>
        <w:rPr>
          <w:rFonts w:hint="eastAsia" w:ascii="宋体" w:hAnsi="宋体"/>
          <w:sz w:val="24"/>
        </w:rPr>
        <w:t>（三）接受采购项目申请，审核采购项目的相关资料，确定采购方式；</w:t>
      </w:r>
    </w:p>
    <w:p>
      <w:pPr>
        <w:adjustRightInd w:val="0"/>
        <w:snapToGrid w:val="0"/>
        <w:spacing w:line="460" w:lineRule="exact"/>
        <w:ind w:firstLine="480" w:firstLineChars="200"/>
        <w:rPr>
          <w:rFonts w:ascii="宋体" w:hAnsi="宋体"/>
          <w:sz w:val="24"/>
        </w:rPr>
      </w:pPr>
      <w:r>
        <w:rPr>
          <w:rFonts w:hint="eastAsia" w:ascii="宋体" w:hAnsi="宋体"/>
          <w:sz w:val="24"/>
        </w:rPr>
        <w:t>（四）审核采购文件，发布采购信息，接受供应商报名；</w:t>
      </w:r>
    </w:p>
    <w:p>
      <w:pPr>
        <w:adjustRightInd w:val="0"/>
        <w:snapToGrid w:val="0"/>
        <w:spacing w:line="460" w:lineRule="exact"/>
        <w:ind w:firstLine="480" w:firstLineChars="200"/>
        <w:rPr>
          <w:rFonts w:ascii="宋体" w:hAnsi="宋体"/>
          <w:sz w:val="24"/>
        </w:rPr>
      </w:pPr>
      <w:r>
        <w:rPr>
          <w:rFonts w:hint="eastAsia" w:ascii="宋体" w:hAnsi="宋体"/>
          <w:sz w:val="24"/>
        </w:rPr>
        <w:t>（五）审查投标商或供应商资格，接受投标人送交的标书；</w:t>
      </w:r>
    </w:p>
    <w:p>
      <w:pPr>
        <w:adjustRightInd w:val="0"/>
        <w:snapToGrid w:val="0"/>
        <w:spacing w:line="460" w:lineRule="exact"/>
        <w:ind w:firstLine="480" w:firstLineChars="200"/>
        <w:rPr>
          <w:rFonts w:ascii="宋体" w:hAnsi="宋体"/>
          <w:sz w:val="24"/>
        </w:rPr>
      </w:pPr>
      <w:r>
        <w:rPr>
          <w:rFonts w:hint="eastAsia" w:ascii="宋体" w:hAnsi="宋体"/>
          <w:sz w:val="24"/>
        </w:rPr>
        <w:t>（六）负责学校评标专家库的建设和管理，评标专家小组人数的确认与抽取，采购过程的组织、主持与记录；</w:t>
      </w:r>
    </w:p>
    <w:p>
      <w:pPr>
        <w:adjustRightInd w:val="0"/>
        <w:snapToGrid w:val="0"/>
        <w:spacing w:line="460" w:lineRule="exact"/>
        <w:ind w:firstLine="480" w:firstLineChars="200"/>
        <w:rPr>
          <w:rFonts w:ascii="宋体" w:hAnsi="宋体"/>
          <w:sz w:val="24"/>
        </w:rPr>
      </w:pPr>
      <w:r>
        <w:rPr>
          <w:rFonts w:hint="eastAsia" w:ascii="宋体" w:hAnsi="宋体"/>
          <w:sz w:val="24"/>
        </w:rPr>
        <w:t>（七）签发中标（成交）通知书，收、退投标保证金；</w:t>
      </w:r>
    </w:p>
    <w:p>
      <w:pPr>
        <w:adjustRightInd w:val="0"/>
        <w:snapToGrid w:val="0"/>
        <w:spacing w:line="460" w:lineRule="exact"/>
        <w:ind w:firstLine="480" w:firstLineChars="200"/>
        <w:rPr>
          <w:rFonts w:ascii="宋体" w:hAnsi="宋体"/>
          <w:sz w:val="24"/>
        </w:rPr>
      </w:pPr>
      <w:r>
        <w:rPr>
          <w:rFonts w:hint="eastAsia" w:ascii="宋体" w:hAnsi="宋体"/>
          <w:sz w:val="24"/>
        </w:rPr>
        <w:t>（八）负责合同文本的审核，协助合同签订、履行及验收等相关工作，做好部门采购过程的检查、指导与监督；</w:t>
      </w:r>
    </w:p>
    <w:p>
      <w:pPr>
        <w:adjustRightInd w:val="0"/>
        <w:snapToGrid w:val="0"/>
        <w:spacing w:line="460" w:lineRule="exact"/>
        <w:ind w:firstLine="480" w:firstLineChars="200"/>
        <w:rPr>
          <w:rFonts w:ascii="宋体" w:hAnsi="宋体"/>
          <w:sz w:val="24"/>
        </w:rPr>
      </w:pPr>
      <w:r>
        <w:rPr>
          <w:rFonts w:hint="eastAsia" w:ascii="宋体" w:hAnsi="宋体"/>
          <w:sz w:val="24"/>
        </w:rPr>
        <w:t>（九）负责采购项目有关文件资料的整理和立卷归档；</w:t>
      </w:r>
    </w:p>
    <w:p>
      <w:pPr>
        <w:adjustRightInd w:val="0"/>
        <w:snapToGrid w:val="0"/>
        <w:spacing w:line="460" w:lineRule="exact"/>
        <w:ind w:firstLine="480" w:firstLineChars="200"/>
        <w:rPr>
          <w:rFonts w:ascii="宋体" w:hAnsi="宋体"/>
          <w:sz w:val="24"/>
        </w:rPr>
      </w:pPr>
      <w:r>
        <w:rPr>
          <w:rFonts w:hint="eastAsia" w:ascii="宋体" w:hAnsi="宋体"/>
          <w:sz w:val="24"/>
        </w:rPr>
        <w:t>（十）及时向纪检部们提供采购实施计划等相关采购与招标文件，配合纪检部们开展监督检查工作。</w:t>
      </w:r>
    </w:p>
    <w:p>
      <w:pPr>
        <w:adjustRightInd w:val="0"/>
        <w:snapToGrid w:val="0"/>
        <w:spacing w:line="460" w:lineRule="exact"/>
        <w:ind w:firstLine="482" w:firstLineChars="200"/>
        <w:rPr>
          <w:rFonts w:ascii="宋体" w:hAnsi="宋体"/>
          <w:sz w:val="24"/>
        </w:rPr>
      </w:pPr>
      <w:r>
        <w:rPr>
          <w:rFonts w:hint="eastAsia" w:ascii="宋体" w:hAnsi="宋体"/>
          <w:b/>
          <w:bCs/>
          <w:sz w:val="24"/>
        </w:rPr>
        <w:t>第七条</w:t>
      </w:r>
      <w:r>
        <w:rPr>
          <w:rFonts w:hint="eastAsia" w:ascii="宋体" w:hAnsi="宋体"/>
          <w:sz w:val="24"/>
        </w:rPr>
        <w:t xml:space="preserve">  项目归口管理部门是对采购项目负有主要管理职能的部门。其主要职责有：</w:t>
      </w:r>
    </w:p>
    <w:p>
      <w:pPr>
        <w:adjustRightInd w:val="0"/>
        <w:snapToGrid w:val="0"/>
        <w:spacing w:line="460" w:lineRule="exact"/>
        <w:ind w:firstLine="480" w:firstLineChars="200"/>
        <w:rPr>
          <w:rFonts w:ascii="宋体" w:hAnsi="宋体"/>
          <w:sz w:val="24"/>
        </w:rPr>
      </w:pPr>
      <w:r>
        <w:rPr>
          <w:rFonts w:hint="eastAsia" w:ascii="宋体" w:hAnsi="宋体"/>
          <w:sz w:val="24"/>
        </w:rPr>
        <w:t>（一）依据学校采购工作实施细则和学校年度预算，组织编报其归口管理范畴内项目的年度采购计划；</w:t>
      </w:r>
    </w:p>
    <w:p>
      <w:pPr>
        <w:adjustRightInd w:val="0"/>
        <w:snapToGrid w:val="0"/>
        <w:spacing w:line="460" w:lineRule="exact"/>
        <w:ind w:firstLine="480" w:firstLineChars="200"/>
        <w:rPr>
          <w:rFonts w:ascii="宋体" w:hAnsi="宋体"/>
          <w:sz w:val="24"/>
        </w:rPr>
      </w:pPr>
      <w:r>
        <w:rPr>
          <w:rFonts w:hint="eastAsia" w:ascii="宋体" w:hAnsi="宋体"/>
          <w:sz w:val="24"/>
        </w:rPr>
        <w:t>（二）指导部门采购项目申报，负责对项目方案的论证，审核使用部门提交的项目方案及有关资料；</w:t>
      </w:r>
    </w:p>
    <w:p>
      <w:pPr>
        <w:adjustRightInd w:val="0"/>
        <w:snapToGrid w:val="0"/>
        <w:spacing w:line="460" w:lineRule="exact"/>
        <w:ind w:firstLine="480" w:firstLineChars="200"/>
        <w:rPr>
          <w:rFonts w:ascii="宋体" w:hAnsi="宋体"/>
          <w:sz w:val="24"/>
        </w:rPr>
      </w:pPr>
      <w:r>
        <w:rPr>
          <w:rFonts w:hint="eastAsia" w:ascii="宋体" w:hAnsi="宋体"/>
          <w:sz w:val="24"/>
        </w:rPr>
        <w:t>（三）组织督促采购文件、合同的拟定，审查确认其项目技术部分，如技术部分不可行则提出改正意见或退回使用部门重新提交；</w:t>
      </w:r>
    </w:p>
    <w:p>
      <w:pPr>
        <w:adjustRightInd w:val="0"/>
        <w:snapToGrid w:val="0"/>
        <w:spacing w:line="460" w:lineRule="exact"/>
        <w:ind w:firstLine="480" w:firstLineChars="200"/>
        <w:rPr>
          <w:rFonts w:ascii="宋体" w:hAnsi="宋体"/>
          <w:sz w:val="24"/>
        </w:rPr>
      </w:pPr>
      <w:r>
        <w:rPr>
          <w:rFonts w:hint="eastAsia" w:ascii="宋体" w:hAnsi="宋体"/>
          <w:sz w:val="24"/>
        </w:rPr>
        <w:t>（四）负责采购项目合同的审核、修订与签订，实施质量跟踪，督促合同按期保质履行；</w:t>
      </w:r>
    </w:p>
    <w:p>
      <w:pPr>
        <w:adjustRightInd w:val="0"/>
        <w:snapToGrid w:val="0"/>
        <w:spacing w:line="460" w:lineRule="exact"/>
        <w:ind w:firstLine="480" w:firstLineChars="200"/>
        <w:rPr>
          <w:rFonts w:ascii="宋体" w:hAnsi="宋体"/>
          <w:sz w:val="24"/>
        </w:rPr>
      </w:pPr>
      <w:r>
        <w:rPr>
          <w:rFonts w:hint="eastAsia" w:ascii="宋体" w:hAnsi="宋体"/>
          <w:sz w:val="24"/>
        </w:rPr>
        <w:t>（五）依据合同、标书条款细则，指导参与项目竣工验收；依据学校经费支出审批规定，审核或审批项目款的结算付款手续；</w:t>
      </w:r>
    </w:p>
    <w:p>
      <w:pPr>
        <w:adjustRightInd w:val="0"/>
        <w:snapToGrid w:val="0"/>
        <w:spacing w:line="460" w:lineRule="exact"/>
        <w:ind w:firstLine="480" w:firstLineChars="200"/>
        <w:rPr>
          <w:rFonts w:ascii="宋体" w:hAnsi="宋体"/>
          <w:sz w:val="24"/>
        </w:rPr>
      </w:pPr>
      <w:r>
        <w:rPr>
          <w:rFonts w:hint="eastAsia" w:ascii="宋体" w:hAnsi="宋体"/>
          <w:sz w:val="24"/>
        </w:rPr>
        <w:t>（六）配合相关部门做好采购项目招标答疑、现场踏勘等过程中的有关工作。</w:t>
      </w:r>
    </w:p>
    <w:p>
      <w:pPr>
        <w:adjustRightInd w:val="0"/>
        <w:snapToGrid w:val="0"/>
        <w:spacing w:line="460" w:lineRule="exact"/>
        <w:ind w:firstLine="482" w:firstLineChars="200"/>
        <w:rPr>
          <w:rFonts w:ascii="宋体" w:hAnsi="宋体"/>
          <w:sz w:val="24"/>
        </w:rPr>
      </w:pPr>
      <w:r>
        <w:rPr>
          <w:rFonts w:hint="eastAsia" w:ascii="宋体" w:hAnsi="宋体"/>
          <w:b/>
          <w:bCs/>
          <w:sz w:val="24"/>
        </w:rPr>
        <w:t>第八条</w:t>
      </w:r>
      <w:r>
        <w:rPr>
          <w:rFonts w:hint="eastAsia" w:ascii="宋体" w:hAnsi="宋体"/>
          <w:sz w:val="24"/>
        </w:rPr>
        <w:t xml:space="preserve"> </w:t>
      </w:r>
      <w:r>
        <w:rPr>
          <w:rFonts w:ascii="宋体" w:hAnsi="宋体"/>
          <w:sz w:val="24"/>
        </w:rPr>
        <w:t> </w:t>
      </w:r>
      <w:r>
        <w:rPr>
          <w:rFonts w:hint="eastAsia" w:ascii="宋体" w:hAnsi="宋体"/>
          <w:sz w:val="24"/>
        </w:rPr>
        <w:t>使用部门是对采购项目负有申报、实施与管理职责的具体部门。其主要职责有：</w:t>
      </w:r>
    </w:p>
    <w:p>
      <w:pPr>
        <w:adjustRightInd w:val="0"/>
        <w:snapToGrid w:val="0"/>
        <w:spacing w:line="460" w:lineRule="exact"/>
        <w:ind w:firstLine="480" w:firstLineChars="200"/>
        <w:rPr>
          <w:rFonts w:ascii="宋体" w:hAnsi="宋体"/>
          <w:sz w:val="24"/>
        </w:rPr>
      </w:pPr>
      <w:r>
        <w:rPr>
          <w:rFonts w:hint="eastAsia" w:ascii="宋体" w:hAnsi="宋体"/>
          <w:sz w:val="24"/>
        </w:rPr>
        <w:t>（一）依据学校采购办、项目归口管理部门相关要求和学校年度项目预算，编报本部门年度采购计划；</w:t>
      </w:r>
    </w:p>
    <w:p>
      <w:pPr>
        <w:adjustRightInd w:val="0"/>
        <w:snapToGrid w:val="0"/>
        <w:spacing w:line="460" w:lineRule="exact"/>
        <w:ind w:firstLine="480" w:firstLineChars="200"/>
        <w:rPr>
          <w:rFonts w:ascii="宋体" w:hAnsi="宋体"/>
          <w:sz w:val="24"/>
        </w:rPr>
      </w:pPr>
      <w:r>
        <w:rPr>
          <w:rFonts w:hint="eastAsia" w:ascii="宋体" w:hAnsi="宋体"/>
          <w:sz w:val="24"/>
        </w:rPr>
        <w:t>（二）根据采购项目的性质，做好前期市场调研、可行性论证工作。包括提供采购商务、技术要求等资料；</w:t>
      </w:r>
    </w:p>
    <w:p>
      <w:pPr>
        <w:adjustRightInd w:val="0"/>
        <w:snapToGrid w:val="0"/>
        <w:spacing w:line="460" w:lineRule="exact"/>
        <w:ind w:firstLine="480" w:firstLineChars="200"/>
        <w:rPr>
          <w:rFonts w:ascii="宋体" w:hAnsi="宋体"/>
          <w:sz w:val="24"/>
        </w:rPr>
      </w:pPr>
      <w:r>
        <w:rPr>
          <w:rFonts w:hint="eastAsia" w:ascii="宋体" w:hAnsi="宋体"/>
          <w:sz w:val="24"/>
        </w:rPr>
        <w:t>（三）负责采购项目申报，并提供完整的项目相关资料；</w:t>
      </w:r>
    </w:p>
    <w:p>
      <w:pPr>
        <w:adjustRightInd w:val="0"/>
        <w:snapToGrid w:val="0"/>
        <w:spacing w:line="460" w:lineRule="exact"/>
        <w:ind w:firstLine="480" w:firstLineChars="200"/>
        <w:rPr>
          <w:rFonts w:ascii="宋体" w:hAnsi="宋体"/>
          <w:sz w:val="24"/>
        </w:rPr>
      </w:pPr>
      <w:r>
        <w:rPr>
          <w:rFonts w:hint="eastAsia" w:ascii="宋体" w:hAnsi="宋体"/>
          <w:sz w:val="24"/>
        </w:rPr>
        <w:t>（四）拟定采购文件，负责技术释疑。如需实地考察，则提出考察的建议和方案；</w:t>
      </w:r>
    </w:p>
    <w:p>
      <w:pPr>
        <w:adjustRightInd w:val="0"/>
        <w:snapToGrid w:val="0"/>
        <w:spacing w:line="460" w:lineRule="exact"/>
        <w:ind w:firstLine="480" w:firstLineChars="200"/>
        <w:rPr>
          <w:rFonts w:ascii="宋体" w:hAnsi="宋体"/>
          <w:sz w:val="24"/>
        </w:rPr>
      </w:pPr>
      <w:r>
        <w:rPr>
          <w:rFonts w:hint="eastAsia" w:ascii="宋体" w:hAnsi="宋体"/>
          <w:sz w:val="24"/>
        </w:rPr>
        <w:t>（五）负责采购项目合同的洽谈、拟定和送审以及部门组织采购项目的采购和合同履行过程的监督与检查；</w:t>
      </w:r>
    </w:p>
    <w:p>
      <w:pPr>
        <w:adjustRightInd w:val="0"/>
        <w:snapToGrid w:val="0"/>
        <w:spacing w:line="460" w:lineRule="exact"/>
        <w:ind w:firstLine="480" w:firstLineChars="200"/>
        <w:rPr>
          <w:rFonts w:ascii="宋体" w:hAnsi="宋体"/>
          <w:sz w:val="24"/>
        </w:rPr>
      </w:pPr>
      <w:r>
        <w:rPr>
          <w:rFonts w:hint="eastAsia" w:ascii="宋体" w:hAnsi="宋体"/>
          <w:sz w:val="24"/>
        </w:rPr>
        <w:t>（六）组织相关人员开展项目竣工验收与确认。</w:t>
      </w:r>
    </w:p>
    <w:p>
      <w:pPr>
        <w:adjustRightInd w:val="0"/>
        <w:snapToGrid w:val="0"/>
        <w:spacing w:line="460" w:lineRule="exact"/>
        <w:ind w:firstLine="480" w:firstLineChars="200"/>
        <w:rPr>
          <w:rFonts w:ascii="宋体" w:hAnsi="宋体"/>
          <w:sz w:val="24"/>
        </w:rPr>
      </w:pPr>
      <w:r>
        <w:rPr>
          <w:rFonts w:hint="eastAsia" w:ascii="宋体" w:hAnsi="宋体"/>
          <w:sz w:val="24"/>
        </w:rPr>
        <w:t>（七）办理固定资产登记入账和项目款的结算付款手续。</w:t>
      </w:r>
    </w:p>
    <w:p>
      <w:pPr>
        <w:adjustRightInd w:val="0"/>
        <w:snapToGrid w:val="0"/>
        <w:spacing w:line="460" w:lineRule="exact"/>
        <w:ind w:firstLine="480" w:firstLineChars="200"/>
        <w:rPr>
          <w:rFonts w:ascii="宋体" w:hAnsi="宋体"/>
          <w:sz w:val="24"/>
        </w:rPr>
      </w:pPr>
      <w:r>
        <w:rPr>
          <w:rFonts w:hint="eastAsia" w:ascii="宋体" w:hAnsi="宋体"/>
          <w:sz w:val="24"/>
        </w:rPr>
        <w:t>（八）配合学校采购办、相关职能部门做好采购项目档案的归档以及采购过程中的有关工作。</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eastAsia="黑体" w:cs="Calibri"/>
          <w:sz w:val="32"/>
          <w:szCs w:val="32"/>
        </w:rPr>
        <w:t>  </w:t>
      </w:r>
      <w:r>
        <w:rPr>
          <w:rFonts w:hint="eastAsia" w:ascii="黑体" w:hAnsi="黑体" w:eastAsia="黑体" w:cs="黑体"/>
          <w:sz w:val="32"/>
          <w:szCs w:val="32"/>
        </w:rPr>
        <w:t>采购分类与组织</w:t>
      </w:r>
    </w:p>
    <w:p>
      <w:pPr>
        <w:adjustRightInd w:val="0"/>
        <w:snapToGrid w:val="0"/>
        <w:spacing w:line="460" w:lineRule="exact"/>
        <w:ind w:firstLine="482" w:firstLineChars="200"/>
        <w:rPr>
          <w:rFonts w:ascii="宋体" w:hAnsi="宋体"/>
          <w:sz w:val="24"/>
        </w:rPr>
      </w:pPr>
      <w:r>
        <w:rPr>
          <w:rFonts w:hint="eastAsia" w:ascii="宋体" w:hAnsi="宋体"/>
          <w:b/>
          <w:bCs/>
          <w:sz w:val="24"/>
        </w:rPr>
        <w:t>第九条</w:t>
      </w:r>
      <w:r>
        <w:rPr>
          <w:rFonts w:hint="eastAsia" w:ascii="宋体" w:hAnsi="宋体"/>
          <w:sz w:val="24"/>
        </w:rPr>
        <w:t xml:space="preserve"> </w:t>
      </w:r>
      <w:r>
        <w:rPr>
          <w:rFonts w:ascii="宋体" w:hAnsi="宋体"/>
          <w:sz w:val="24"/>
        </w:rPr>
        <w:t> </w:t>
      </w:r>
      <w:r>
        <w:rPr>
          <w:rFonts w:hint="eastAsia" w:ascii="宋体" w:hAnsi="宋体"/>
          <w:sz w:val="24"/>
        </w:rPr>
        <w:t>采购方式的分类。学校采购主要采用公开招标、邀请招标、竞争性谈判、单一来源采购、询价采购等方式。</w:t>
      </w:r>
    </w:p>
    <w:p>
      <w:pPr>
        <w:adjustRightInd w:val="0"/>
        <w:snapToGrid w:val="0"/>
        <w:spacing w:line="460" w:lineRule="exact"/>
        <w:ind w:firstLine="480" w:firstLineChars="200"/>
        <w:rPr>
          <w:rFonts w:ascii="宋体" w:hAnsi="宋体"/>
          <w:sz w:val="24"/>
        </w:rPr>
      </w:pPr>
      <w:r>
        <w:rPr>
          <w:rFonts w:hint="eastAsia" w:ascii="宋体" w:hAnsi="宋体"/>
          <w:sz w:val="24"/>
        </w:rPr>
        <w:t>（一）公开招标是指学校以招标公告的方式邀请不特定的供应商参加投标的采购方式。</w:t>
      </w:r>
    </w:p>
    <w:p>
      <w:pPr>
        <w:adjustRightInd w:val="0"/>
        <w:snapToGrid w:val="0"/>
        <w:spacing w:line="460" w:lineRule="exact"/>
        <w:ind w:firstLine="480" w:firstLineChars="200"/>
        <w:rPr>
          <w:rFonts w:ascii="宋体" w:hAnsi="宋体"/>
          <w:sz w:val="24"/>
        </w:rPr>
      </w:pPr>
      <w:r>
        <w:rPr>
          <w:rFonts w:hint="eastAsia" w:ascii="宋体" w:hAnsi="宋体"/>
          <w:sz w:val="24"/>
        </w:rPr>
        <w:t>（二）邀请招标是指学校以投标邀请书的方式邀请特定的供应商参加投标的采购方式。</w:t>
      </w:r>
    </w:p>
    <w:p>
      <w:pPr>
        <w:adjustRightInd w:val="0"/>
        <w:snapToGrid w:val="0"/>
        <w:spacing w:line="460" w:lineRule="exact"/>
        <w:ind w:firstLine="480" w:firstLineChars="200"/>
        <w:rPr>
          <w:rFonts w:ascii="宋体" w:hAnsi="宋体"/>
          <w:sz w:val="24"/>
        </w:rPr>
      </w:pPr>
      <w:r>
        <w:rPr>
          <w:rFonts w:hint="eastAsia" w:ascii="宋体" w:hAnsi="宋体"/>
          <w:sz w:val="24"/>
        </w:rPr>
        <w:t>（三）竞争性谈判是指学校从符合相应资格条件的供应商中确定不少于三家单位就采购项目通过谈判来确定成交单位的采购方式。</w:t>
      </w:r>
    </w:p>
    <w:p>
      <w:pPr>
        <w:adjustRightInd w:val="0"/>
        <w:snapToGrid w:val="0"/>
        <w:spacing w:line="460" w:lineRule="exact"/>
        <w:ind w:firstLine="480" w:firstLineChars="200"/>
        <w:rPr>
          <w:rFonts w:ascii="宋体" w:hAnsi="宋体"/>
          <w:sz w:val="24"/>
        </w:rPr>
      </w:pPr>
      <w:r>
        <w:rPr>
          <w:rFonts w:hint="eastAsia" w:ascii="宋体" w:hAnsi="宋体"/>
          <w:sz w:val="24"/>
        </w:rPr>
        <w:t>（四）单一来源采购是指学校与某一特定供应商进行谈判来确定的采购方式。</w:t>
      </w:r>
    </w:p>
    <w:p>
      <w:pPr>
        <w:adjustRightInd w:val="0"/>
        <w:snapToGrid w:val="0"/>
        <w:spacing w:line="460" w:lineRule="exact"/>
        <w:ind w:firstLine="480" w:firstLineChars="200"/>
        <w:rPr>
          <w:rFonts w:ascii="宋体" w:hAnsi="宋体"/>
          <w:sz w:val="24"/>
        </w:rPr>
      </w:pPr>
      <w:r>
        <w:rPr>
          <w:rFonts w:hint="eastAsia" w:ascii="宋体" w:hAnsi="宋体"/>
          <w:sz w:val="24"/>
        </w:rPr>
        <w:t>（五）询价采购是指学校从符合相应资格条件的法人或者其他组织中确定不少于三家单位，并对其提供的报价、质量、服务等进行比较，确定供应商的采购方式。</w:t>
      </w:r>
    </w:p>
    <w:p>
      <w:pPr>
        <w:adjustRightInd w:val="0"/>
        <w:snapToGrid w:val="0"/>
        <w:spacing w:line="460" w:lineRule="exact"/>
        <w:ind w:firstLine="480" w:firstLineChars="200"/>
        <w:rPr>
          <w:rFonts w:ascii="宋体" w:hAnsi="宋体"/>
          <w:sz w:val="24"/>
        </w:rPr>
      </w:pPr>
      <w:r>
        <w:rPr>
          <w:rFonts w:hint="eastAsia" w:ascii="宋体" w:hAnsi="宋体"/>
          <w:sz w:val="24"/>
        </w:rPr>
        <w:t>（六）其他采购方式。除上述以外的采购方式，包括协议供货采购、定点采购、网上竞价采购等其他方式。</w:t>
      </w:r>
    </w:p>
    <w:p>
      <w:pPr>
        <w:adjustRightInd w:val="0"/>
        <w:snapToGrid w:val="0"/>
        <w:spacing w:line="460" w:lineRule="exact"/>
        <w:ind w:firstLine="482" w:firstLineChars="200"/>
        <w:rPr>
          <w:rFonts w:ascii="宋体" w:hAnsi="宋体"/>
          <w:sz w:val="24"/>
        </w:rPr>
      </w:pPr>
      <w:r>
        <w:rPr>
          <w:rFonts w:hint="eastAsia" w:ascii="宋体" w:hAnsi="宋体"/>
          <w:b/>
          <w:bCs/>
          <w:sz w:val="24"/>
        </w:rPr>
        <w:t>第十条</w:t>
      </w:r>
      <w:r>
        <w:rPr>
          <w:rFonts w:hint="eastAsia" w:ascii="宋体" w:hAnsi="宋体"/>
          <w:sz w:val="24"/>
        </w:rPr>
        <w:t xml:space="preserve"> </w:t>
      </w:r>
      <w:r>
        <w:rPr>
          <w:rFonts w:ascii="宋体" w:hAnsi="宋体"/>
          <w:sz w:val="24"/>
        </w:rPr>
        <w:t> </w:t>
      </w:r>
      <w:r>
        <w:rPr>
          <w:rFonts w:hint="eastAsia" w:ascii="宋体" w:hAnsi="宋体"/>
          <w:sz w:val="24"/>
        </w:rPr>
        <w:t>采购方式的确定。学校重大项目的采购活动，原则上以公开招标方式完成采购。因特殊原因并符合以下条件的项目，可采用邀请招标、竞争性谈判、单一来源采购、询价等其他方式进行采购。</w:t>
      </w:r>
    </w:p>
    <w:p>
      <w:pPr>
        <w:adjustRightInd w:val="0"/>
        <w:snapToGrid w:val="0"/>
        <w:spacing w:line="460" w:lineRule="exact"/>
        <w:ind w:firstLine="480" w:firstLineChars="200"/>
        <w:rPr>
          <w:rFonts w:ascii="宋体" w:hAnsi="宋体"/>
          <w:sz w:val="24"/>
        </w:rPr>
      </w:pPr>
      <w:r>
        <w:rPr>
          <w:rFonts w:hint="eastAsia" w:ascii="宋体" w:hAnsi="宋体"/>
          <w:sz w:val="24"/>
        </w:rPr>
        <w:t>（一）符合下列条件之一的，可采用邀请招标方式：</w:t>
      </w:r>
    </w:p>
    <w:p>
      <w:pPr>
        <w:adjustRightInd w:val="0"/>
        <w:snapToGrid w:val="0"/>
        <w:spacing w:line="460" w:lineRule="exact"/>
        <w:ind w:firstLine="480" w:firstLineChars="200"/>
        <w:rPr>
          <w:rFonts w:ascii="宋体" w:hAnsi="宋体"/>
          <w:sz w:val="24"/>
        </w:rPr>
      </w:pPr>
      <w:r>
        <w:rPr>
          <w:rFonts w:hint="eastAsia" w:ascii="宋体" w:hAnsi="宋体"/>
          <w:sz w:val="24"/>
        </w:rPr>
        <w:t>1.技术要求复杂，或有特殊专业要求的；</w:t>
      </w:r>
    </w:p>
    <w:p>
      <w:pPr>
        <w:adjustRightInd w:val="0"/>
        <w:snapToGrid w:val="0"/>
        <w:spacing w:line="460" w:lineRule="exact"/>
        <w:ind w:firstLine="480" w:firstLineChars="200"/>
        <w:rPr>
          <w:rFonts w:ascii="宋体" w:hAnsi="宋体"/>
          <w:sz w:val="24"/>
        </w:rPr>
      </w:pPr>
      <w:r>
        <w:rPr>
          <w:rFonts w:hint="eastAsia" w:ascii="宋体" w:hAnsi="宋体"/>
          <w:sz w:val="24"/>
        </w:rPr>
        <w:t>2.只能从有限范围内的供应商中采购的；</w:t>
      </w:r>
    </w:p>
    <w:p>
      <w:pPr>
        <w:adjustRightInd w:val="0"/>
        <w:snapToGrid w:val="0"/>
        <w:spacing w:line="460" w:lineRule="exact"/>
        <w:ind w:firstLine="480" w:firstLineChars="200"/>
        <w:rPr>
          <w:rFonts w:ascii="宋体" w:hAnsi="宋体"/>
          <w:sz w:val="24"/>
        </w:rPr>
      </w:pPr>
      <w:r>
        <w:rPr>
          <w:rFonts w:hint="eastAsia" w:ascii="宋体" w:hAnsi="宋体"/>
          <w:sz w:val="24"/>
        </w:rPr>
        <w:t>3.公开招标所需费用和时间与项目价值不匹配，不符合经济合理性要求的。</w:t>
      </w:r>
    </w:p>
    <w:p>
      <w:pPr>
        <w:adjustRightInd w:val="0"/>
        <w:snapToGrid w:val="0"/>
        <w:spacing w:line="460" w:lineRule="exact"/>
        <w:ind w:firstLine="480" w:firstLineChars="200"/>
        <w:rPr>
          <w:rFonts w:ascii="宋体" w:hAnsi="宋体"/>
          <w:sz w:val="24"/>
        </w:rPr>
      </w:pPr>
      <w:r>
        <w:rPr>
          <w:rFonts w:hint="eastAsia" w:ascii="宋体" w:hAnsi="宋体"/>
          <w:sz w:val="24"/>
        </w:rPr>
        <w:t>（二）符合下列条件之一的，可采用竞争性谈判采购方式：</w:t>
      </w:r>
    </w:p>
    <w:p>
      <w:pPr>
        <w:adjustRightInd w:val="0"/>
        <w:snapToGrid w:val="0"/>
        <w:spacing w:line="460" w:lineRule="exact"/>
        <w:ind w:firstLine="480" w:firstLineChars="200"/>
        <w:rPr>
          <w:rFonts w:ascii="宋体" w:hAnsi="宋体"/>
          <w:sz w:val="24"/>
        </w:rPr>
      </w:pPr>
      <w:r>
        <w:rPr>
          <w:rFonts w:hint="eastAsia" w:ascii="宋体" w:hAnsi="宋体"/>
          <w:sz w:val="24"/>
        </w:rPr>
        <w:t>1.招标后没有供应商投标或没有合格供应商投标，或重新招标未能成立的；</w:t>
      </w:r>
    </w:p>
    <w:p>
      <w:pPr>
        <w:adjustRightInd w:val="0"/>
        <w:snapToGrid w:val="0"/>
        <w:spacing w:line="460" w:lineRule="exact"/>
        <w:ind w:firstLine="480" w:firstLineChars="200"/>
        <w:rPr>
          <w:rFonts w:ascii="宋体" w:hAnsi="宋体"/>
          <w:sz w:val="24"/>
        </w:rPr>
      </w:pPr>
      <w:r>
        <w:rPr>
          <w:rFonts w:hint="eastAsia" w:ascii="宋体" w:hAnsi="宋体"/>
          <w:sz w:val="24"/>
        </w:rPr>
        <w:t>2.技术复杂或性质特殊，不能确定详细规格或具体要求的；</w:t>
      </w:r>
    </w:p>
    <w:p>
      <w:pPr>
        <w:adjustRightInd w:val="0"/>
        <w:snapToGrid w:val="0"/>
        <w:spacing w:line="460" w:lineRule="exact"/>
        <w:ind w:firstLine="480" w:firstLineChars="200"/>
        <w:rPr>
          <w:rFonts w:ascii="宋体" w:hAnsi="宋体"/>
          <w:sz w:val="24"/>
        </w:rPr>
      </w:pPr>
      <w:r>
        <w:rPr>
          <w:rFonts w:hint="eastAsia" w:ascii="宋体" w:hAnsi="宋体"/>
          <w:sz w:val="24"/>
        </w:rPr>
        <w:t>3.采用招标所需时间不能满足使用部门紧急需要的；</w:t>
      </w:r>
    </w:p>
    <w:p>
      <w:pPr>
        <w:adjustRightInd w:val="0"/>
        <w:snapToGrid w:val="0"/>
        <w:spacing w:line="460" w:lineRule="exact"/>
        <w:ind w:firstLine="480" w:firstLineChars="200"/>
        <w:rPr>
          <w:rFonts w:ascii="宋体" w:hAnsi="宋体"/>
          <w:sz w:val="24"/>
        </w:rPr>
      </w:pPr>
      <w:r>
        <w:rPr>
          <w:rFonts w:hint="eastAsia" w:ascii="宋体" w:hAnsi="宋体"/>
          <w:sz w:val="24"/>
        </w:rPr>
        <w:t>4.不能事先计算出价格总额的。</w:t>
      </w:r>
    </w:p>
    <w:p>
      <w:pPr>
        <w:adjustRightInd w:val="0"/>
        <w:snapToGrid w:val="0"/>
        <w:spacing w:line="460" w:lineRule="exact"/>
        <w:ind w:firstLine="480" w:firstLineChars="200"/>
        <w:rPr>
          <w:rFonts w:ascii="宋体" w:hAnsi="宋体"/>
          <w:sz w:val="24"/>
        </w:rPr>
      </w:pPr>
      <w:r>
        <w:rPr>
          <w:rFonts w:hint="eastAsia" w:ascii="宋体" w:hAnsi="宋体"/>
          <w:sz w:val="24"/>
        </w:rPr>
        <w:t>（三）符合下列条件之一的，可采用单一来源采购方式：</w:t>
      </w:r>
    </w:p>
    <w:p>
      <w:pPr>
        <w:adjustRightInd w:val="0"/>
        <w:snapToGrid w:val="0"/>
        <w:spacing w:line="460" w:lineRule="exact"/>
        <w:ind w:firstLine="480" w:firstLineChars="200"/>
        <w:rPr>
          <w:rFonts w:ascii="宋体" w:hAnsi="宋体"/>
          <w:sz w:val="24"/>
        </w:rPr>
      </w:pPr>
      <w:r>
        <w:rPr>
          <w:rFonts w:hint="eastAsia" w:ascii="宋体" w:hAnsi="宋体"/>
          <w:sz w:val="24"/>
        </w:rPr>
        <w:t>1.只能从唯一供应商采购的；</w:t>
      </w:r>
    </w:p>
    <w:p>
      <w:pPr>
        <w:adjustRightInd w:val="0"/>
        <w:snapToGrid w:val="0"/>
        <w:spacing w:line="460" w:lineRule="exact"/>
        <w:ind w:firstLine="480" w:firstLineChars="200"/>
        <w:rPr>
          <w:rFonts w:ascii="宋体" w:hAnsi="宋体"/>
          <w:sz w:val="24"/>
        </w:rPr>
      </w:pPr>
      <w:r>
        <w:rPr>
          <w:rFonts w:hint="eastAsia" w:ascii="宋体" w:hAnsi="宋体"/>
          <w:sz w:val="24"/>
        </w:rPr>
        <w:t>2.发生了不可预见的紧急情况不能从其他供应商采购的；</w:t>
      </w:r>
    </w:p>
    <w:p>
      <w:pPr>
        <w:adjustRightInd w:val="0"/>
        <w:snapToGrid w:val="0"/>
        <w:spacing w:line="460" w:lineRule="exact"/>
        <w:ind w:firstLine="480" w:firstLineChars="200"/>
        <w:rPr>
          <w:rFonts w:ascii="宋体" w:hAnsi="宋体"/>
          <w:sz w:val="24"/>
        </w:rPr>
      </w:pPr>
      <w:r>
        <w:rPr>
          <w:rFonts w:hint="eastAsia" w:ascii="宋体" w:hAnsi="宋体"/>
          <w:sz w:val="24"/>
        </w:rPr>
        <w:t>3.必须保证原有采购项目一致性或服务配套的要求，需要继续从原供应商处添购，且添购资金总额不超过原合同采购金额的10%的。</w:t>
      </w:r>
    </w:p>
    <w:p>
      <w:pPr>
        <w:adjustRightInd w:val="0"/>
        <w:snapToGrid w:val="0"/>
        <w:spacing w:line="460" w:lineRule="exact"/>
        <w:ind w:firstLine="480" w:firstLineChars="200"/>
        <w:rPr>
          <w:rFonts w:ascii="宋体" w:hAnsi="宋体"/>
          <w:sz w:val="24"/>
        </w:rPr>
      </w:pPr>
      <w:r>
        <w:rPr>
          <w:rFonts w:hint="eastAsia" w:ascii="宋体" w:hAnsi="宋体"/>
          <w:sz w:val="24"/>
        </w:rPr>
        <w:t>（四）符合下列条件之一的，可采用询价或其他采购方式：</w:t>
      </w:r>
    </w:p>
    <w:p>
      <w:pPr>
        <w:adjustRightInd w:val="0"/>
        <w:snapToGrid w:val="0"/>
        <w:spacing w:line="460" w:lineRule="exact"/>
        <w:ind w:firstLine="480" w:firstLineChars="200"/>
        <w:rPr>
          <w:rFonts w:ascii="宋体" w:hAnsi="宋体"/>
          <w:sz w:val="24"/>
        </w:rPr>
      </w:pPr>
      <w:r>
        <w:rPr>
          <w:rFonts w:hint="eastAsia" w:ascii="宋体" w:hAnsi="宋体"/>
          <w:sz w:val="24"/>
        </w:rPr>
        <w:t>1.采购的货物规格、标准统一，现货货源充足、价格透明且变化幅度小的；</w:t>
      </w:r>
    </w:p>
    <w:p>
      <w:pPr>
        <w:adjustRightInd w:val="0"/>
        <w:snapToGrid w:val="0"/>
        <w:spacing w:line="460" w:lineRule="exact"/>
        <w:ind w:firstLine="480" w:firstLineChars="200"/>
        <w:rPr>
          <w:rFonts w:ascii="宋体" w:hAnsi="宋体"/>
          <w:sz w:val="24"/>
        </w:rPr>
      </w:pPr>
      <w:r>
        <w:rPr>
          <w:rFonts w:hint="eastAsia" w:ascii="宋体" w:hAnsi="宋体"/>
          <w:sz w:val="24"/>
        </w:rPr>
        <w:t>2.政府集中采购目录内规定协议供货的。</w:t>
      </w:r>
    </w:p>
    <w:p>
      <w:pPr>
        <w:adjustRightInd w:val="0"/>
        <w:snapToGrid w:val="0"/>
        <w:spacing w:line="460" w:lineRule="exact"/>
        <w:ind w:firstLine="482" w:firstLineChars="200"/>
        <w:rPr>
          <w:rFonts w:ascii="宋体" w:hAnsi="宋体"/>
          <w:sz w:val="24"/>
        </w:rPr>
      </w:pPr>
      <w:r>
        <w:rPr>
          <w:rFonts w:hint="eastAsia" w:ascii="宋体" w:hAnsi="宋体"/>
          <w:b/>
          <w:bCs/>
          <w:sz w:val="24"/>
        </w:rPr>
        <w:t>第十一条</w:t>
      </w:r>
      <w:r>
        <w:rPr>
          <w:rFonts w:hint="eastAsia" w:ascii="宋体" w:hAnsi="宋体"/>
          <w:sz w:val="24"/>
        </w:rPr>
        <w:t xml:space="preserve">  采购项目的分类。学校采购项目按其属性一般可分为工程类、货物类和服务类等三大类。</w:t>
      </w:r>
    </w:p>
    <w:p>
      <w:pPr>
        <w:adjustRightInd w:val="0"/>
        <w:snapToGrid w:val="0"/>
        <w:spacing w:line="460" w:lineRule="exact"/>
        <w:ind w:firstLine="480" w:firstLineChars="200"/>
        <w:rPr>
          <w:rFonts w:ascii="宋体" w:hAnsi="宋体"/>
          <w:sz w:val="24"/>
        </w:rPr>
      </w:pPr>
      <w:r>
        <w:rPr>
          <w:rFonts w:hint="eastAsia" w:ascii="宋体" w:hAnsi="宋体"/>
          <w:sz w:val="24"/>
        </w:rPr>
        <w:t xml:space="preserve">（一）工程类是指建设工程,包括建筑物和构筑物的改建、扩建、装修、拆除、修缮等； </w:t>
      </w:r>
    </w:p>
    <w:p>
      <w:pPr>
        <w:adjustRightInd w:val="0"/>
        <w:snapToGrid w:val="0"/>
        <w:spacing w:line="460" w:lineRule="exact"/>
        <w:ind w:firstLine="480" w:firstLineChars="200"/>
        <w:rPr>
          <w:rFonts w:ascii="宋体" w:hAnsi="宋体"/>
          <w:sz w:val="24"/>
        </w:rPr>
      </w:pPr>
      <w:r>
        <w:rPr>
          <w:rFonts w:hint="eastAsia" w:ascii="宋体" w:hAnsi="宋体"/>
          <w:sz w:val="24"/>
        </w:rPr>
        <w:t>（二）货物类是指各种形态和种类的物品,包括有形物和无形物（如各类设备、家具、材料、食品、图书、教材、药品、用品等），商标专用权、著作权、专利权等知识产权视同货物；</w:t>
      </w:r>
    </w:p>
    <w:p>
      <w:pPr>
        <w:adjustRightInd w:val="0"/>
        <w:snapToGrid w:val="0"/>
        <w:spacing w:line="460" w:lineRule="exact"/>
        <w:ind w:firstLine="480" w:firstLineChars="200"/>
        <w:rPr>
          <w:rFonts w:ascii="宋体" w:hAnsi="宋体"/>
          <w:sz w:val="24"/>
        </w:rPr>
      </w:pPr>
      <w:r>
        <w:rPr>
          <w:rFonts w:hint="eastAsia" w:ascii="宋体" w:hAnsi="宋体"/>
          <w:sz w:val="24"/>
        </w:rPr>
        <w:t>（三）服务类是指除货物和工程以外的其他采购对象,包括各类专业服务、信息网络开发服务、金融保险服务、运输服务，以及运行维护服务等。勘察、咨询服务、工程监理、设计、审计、物业管理、会议培训、印刷、保险、中介服务等也属于服务。</w:t>
      </w:r>
    </w:p>
    <w:p>
      <w:pPr>
        <w:adjustRightInd w:val="0"/>
        <w:snapToGrid w:val="0"/>
        <w:spacing w:line="460" w:lineRule="exact"/>
        <w:ind w:firstLine="482" w:firstLineChars="200"/>
        <w:rPr>
          <w:rFonts w:ascii="宋体" w:hAnsi="宋体"/>
          <w:sz w:val="24"/>
        </w:rPr>
      </w:pPr>
      <w:r>
        <w:rPr>
          <w:rFonts w:hint="eastAsia" w:ascii="宋体" w:hAnsi="宋体"/>
          <w:b/>
          <w:bCs/>
          <w:sz w:val="24"/>
        </w:rPr>
        <w:t>第十二条</w:t>
      </w:r>
      <w:r>
        <w:rPr>
          <w:rFonts w:hint="eastAsia" w:ascii="宋体" w:hAnsi="宋体"/>
          <w:sz w:val="24"/>
        </w:rPr>
        <w:t xml:space="preserve"> 采购工作的组织。各类采购项目按照以下范围和限额标准，分别采取由市采购机构、学校采购办以及相关部门等三种渠道进行组织采购。</w:t>
      </w:r>
    </w:p>
    <w:p>
      <w:pPr>
        <w:adjustRightInd w:val="0"/>
        <w:snapToGrid w:val="0"/>
        <w:spacing w:line="460" w:lineRule="exact"/>
        <w:ind w:firstLine="480" w:firstLineChars="200"/>
        <w:rPr>
          <w:rFonts w:ascii="宋体" w:hAnsi="宋体"/>
          <w:sz w:val="24"/>
        </w:rPr>
      </w:pPr>
      <w:r>
        <w:rPr>
          <w:rFonts w:hint="eastAsia" w:ascii="宋体" w:hAnsi="宋体"/>
          <w:sz w:val="24"/>
        </w:rPr>
        <w:t>（一）工程类采购范围和限额标准</w:t>
      </w:r>
    </w:p>
    <w:p>
      <w:pPr>
        <w:adjustRightInd w:val="0"/>
        <w:snapToGrid w:val="0"/>
        <w:spacing w:line="460" w:lineRule="exact"/>
        <w:ind w:firstLine="480" w:firstLineChars="200"/>
        <w:rPr>
          <w:rFonts w:ascii="宋体" w:hAnsi="宋体"/>
          <w:sz w:val="24"/>
        </w:rPr>
      </w:pPr>
      <w:r>
        <w:rPr>
          <w:rFonts w:hint="eastAsia" w:ascii="宋体" w:hAnsi="宋体"/>
          <w:sz w:val="24"/>
        </w:rPr>
        <w:t>1.列入上级重大建设工程项目或工程造价预算达5万元及以上的修缮项目（包括房屋室内外维修、装修工程、公用建筑设施改造、教室实验室改造等），由学校采购办组织采购。</w:t>
      </w:r>
    </w:p>
    <w:p>
      <w:pPr>
        <w:adjustRightInd w:val="0"/>
        <w:snapToGrid w:val="0"/>
        <w:spacing w:line="460" w:lineRule="exact"/>
        <w:ind w:firstLine="480" w:firstLineChars="200"/>
        <w:rPr>
          <w:rFonts w:ascii="宋体" w:hAnsi="宋体"/>
          <w:sz w:val="24"/>
        </w:rPr>
      </w:pPr>
      <w:r>
        <w:rPr>
          <w:rFonts w:hint="eastAsia" w:ascii="宋体" w:hAnsi="宋体"/>
          <w:sz w:val="24"/>
        </w:rPr>
        <w:t>2.工程造价预算5千元以下的修缮项目，直接由部门按本办法</w:t>
      </w:r>
      <w:r>
        <w:rPr>
          <w:rFonts w:hint="eastAsia" w:ascii="宋体" w:hAnsi="宋体"/>
          <w:b/>
          <w:bCs/>
          <w:sz w:val="24"/>
        </w:rPr>
        <w:t>第二十六条</w:t>
      </w:r>
      <w:r>
        <w:rPr>
          <w:rFonts w:hint="eastAsia" w:ascii="宋体" w:hAnsi="宋体"/>
          <w:sz w:val="24"/>
        </w:rPr>
        <w:t>规定组织采购；5千元至5万元以下的，经学校采购办审核授权后，方可由部门组织采购。</w:t>
      </w:r>
    </w:p>
    <w:p>
      <w:pPr>
        <w:adjustRightInd w:val="0"/>
        <w:snapToGrid w:val="0"/>
        <w:spacing w:line="460" w:lineRule="exact"/>
        <w:ind w:firstLine="480" w:firstLineChars="200"/>
        <w:rPr>
          <w:rFonts w:ascii="宋体" w:hAnsi="宋体"/>
          <w:sz w:val="24"/>
        </w:rPr>
      </w:pPr>
      <w:r>
        <w:rPr>
          <w:rFonts w:hint="eastAsia" w:ascii="宋体" w:hAnsi="宋体"/>
          <w:sz w:val="24"/>
        </w:rPr>
        <w:t>（二）货物类采购范围和限额标准</w:t>
      </w:r>
    </w:p>
    <w:p>
      <w:pPr>
        <w:adjustRightInd w:val="0"/>
        <w:snapToGrid w:val="0"/>
        <w:spacing w:line="460" w:lineRule="exact"/>
        <w:ind w:firstLine="480" w:firstLineChars="200"/>
        <w:rPr>
          <w:rFonts w:ascii="宋体" w:hAnsi="宋体"/>
          <w:sz w:val="24"/>
        </w:rPr>
      </w:pPr>
      <w:r>
        <w:rPr>
          <w:rFonts w:hint="eastAsia" w:ascii="宋体" w:hAnsi="宋体"/>
          <w:sz w:val="24"/>
        </w:rPr>
        <w:t>1.列入市政府集中采购目录范围以内的货物，交由市采购机构组织采购或从其规定组织采购。</w:t>
      </w:r>
    </w:p>
    <w:p>
      <w:pPr>
        <w:adjustRightInd w:val="0"/>
        <w:snapToGrid w:val="0"/>
        <w:spacing w:line="460" w:lineRule="exact"/>
        <w:ind w:firstLine="480" w:firstLineChars="200"/>
        <w:rPr>
          <w:rFonts w:ascii="宋体" w:hAnsi="宋体"/>
          <w:sz w:val="24"/>
        </w:rPr>
      </w:pPr>
      <w:r>
        <w:rPr>
          <w:rFonts w:hint="eastAsia" w:ascii="宋体" w:hAnsi="宋体"/>
          <w:sz w:val="24"/>
        </w:rPr>
        <w:t>2.在市政府集中采购目录范围以外，单项或年度批量预算金额在1万元及以上的货物，以及非财政性资金的货物（如学生床上用品、军训服装、学生用的教材等），由学校采购办组织采购。</w:t>
      </w:r>
    </w:p>
    <w:p>
      <w:pPr>
        <w:adjustRightInd w:val="0"/>
        <w:snapToGrid w:val="0"/>
        <w:spacing w:line="460" w:lineRule="exact"/>
        <w:ind w:firstLine="480" w:firstLineChars="200"/>
        <w:rPr>
          <w:rFonts w:ascii="宋体" w:hAnsi="宋体"/>
          <w:sz w:val="24"/>
        </w:rPr>
      </w:pPr>
      <w:r>
        <w:rPr>
          <w:rFonts w:hint="eastAsia" w:ascii="宋体" w:hAnsi="宋体"/>
          <w:sz w:val="24"/>
        </w:rPr>
        <w:t>3.在市政府集中采购目录范围以外，单项或年度批量预算金额在5千元以下的货物，直接由部门按本办法第二十六条规定组织采购；5千元至1万元以下的货物，经学校采购办审核授权后，方可由部门组织采购。</w:t>
      </w:r>
    </w:p>
    <w:p>
      <w:pPr>
        <w:adjustRightInd w:val="0"/>
        <w:snapToGrid w:val="0"/>
        <w:spacing w:line="460" w:lineRule="exact"/>
        <w:ind w:firstLine="480" w:firstLineChars="200"/>
        <w:rPr>
          <w:rFonts w:ascii="宋体" w:hAnsi="宋体"/>
          <w:sz w:val="24"/>
        </w:rPr>
      </w:pPr>
      <w:r>
        <w:rPr>
          <w:rFonts w:hint="eastAsia" w:ascii="宋体" w:hAnsi="宋体"/>
          <w:sz w:val="24"/>
        </w:rPr>
        <w:t>（三）服务类采购范围和限额标准</w:t>
      </w:r>
    </w:p>
    <w:p>
      <w:pPr>
        <w:adjustRightInd w:val="0"/>
        <w:snapToGrid w:val="0"/>
        <w:spacing w:line="460" w:lineRule="exact"/>
        <w:ind w:firstLine="480" w:firstLineChars="200"/>
        <w:rPr>
          <w:rFonts w:ascii="宋体" w:hAnsi="宋体"/>
          <w:sz w:val="24"/>
        </w:rPr>
      </w:pPr>
      <w:r>
        <w:rPr>
          <w:rFonts w:hint="eastAsia" w:ascii="宋体" w:hAnsi="宋体"/>
          <w:sz w:val="24"/>
        </w:rPr>
        <w:t>1.列入市政府集中采购目录范围以内的服务，交由市采购机构组织采购或从其规定组织采购。</w:t>
      </w:r>
    </w:p>
    <w:p>
      <w:pPr>
        <w:adjustRightInd w:val="0"/>
        <w:snapToGrid w:val="0"/>
        <w:spacing w:line="460" w:lineRule="exact"/>
        <w:ind w:firstLine="480" w:firstLineChars="200"/>
        <w:rPr>
          <w:rFonts w:ascii="宋体" w:hAnsi="宋体"/>
          <w:sz w:val="24"/>
        </w:rPr>
      </w:pPr>
      <w:r>
        <w:rPr>
          <w:rFonts w:hint="eastAsia" w:ascii="宋体" w:hAnsi="宋体"/>
          <w:sz w:val="24"/>
        </w:rPr>
        <w:t>2.在市政府集中采购目录范围以外，单项或年度批量预算金额1万元及以上的服务，以及食堂托管经营等项目，由学校采购办组织采购。</w:t>
      </w:r>
    </w:p>
    <w:p>
      <w:pPr>
        <w:adjustRightInd w:val="0"/>
        <w:snapToGrid w:val="0"/>
        <w:spacing w:line="460" w:lineRule="exact"/>
        <w:ind w:firstLine="480" w:firstLineChars="200"/>
        <w:rPr>
          <w:rFonts w:ascii="宋体" w:hAnsi="宋体"/>
          <w:sz w:val="24"/>
        </w:rPr>
      </w:pPr>
      <w:r>
        <w:rPr>
          <w:rFonts w:hint="eastAsia" w:ascii="宋体" w:hAnsi="宋体"/>
          <w:sz w:val="24"/>
        </w:rPr>
        <w:t>3.在市政府集中采购目录范围以外，单项或年度批量预算金额在5千元以下的服务，直接由部门按本办法第二十六条规定组织采购；5千元至1万元以下的服务，经学校采购办审核授权后，方可由部门组织采购。</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eastAsia="黑体" w:cs="Calibri"/>
          <w:sz w:val="32"/>
          <w:szCs w:val="32"/>
        </w:rPr>
        <w:t> </w:t>
      </w:r>
      <w:r>
        <w:rPr>
          <w:rFonts w:hint="eastAsia" w:ascii="黑体" w:hAnsi="黑体" w:eastAsia="黑体" w:cs="黑体"/>
          <w:sz w:val="32"/>
          <w:szCs w:val="32"/>
        </w:rPr>
        <w:t>采购申请与审批</w:t>
      </w:r>
    </w:p>
    <w:p>
      <w:pPr>
        <w:adjustRightInd w:val="0"/>
        <w:snapToGrid w:val="0"/>
        <w:spacing w:line="460" w:lineRule="exact"/>
        <w:ind w:firstLine="482" w:firstLineChars="200"/>
        <w:rPr>
          <w:rFonts w:ascii="宋体" w:hAnsi="宋体"/>
          <w:sz w:val="24"/>
        </w:rPr>
      </w:pPr>
      <w:r>
        <w:rPr>
          <w:rFonts w:hint="eastAsia" w:ascii="宋体" w:hAnsi="宋体"/>
          <w:b/>
          <w:bCs/>
          <w:sz w:val="24"/>
        </w:rPr>
        <w:t>第十三条</w:t>
      </w:r>
      <w:r>
        <w:rPr>
          <w:rFonts w:hint="eastAsia" w:ascii="宋体" w:hAnsi="宋体"/>
          <w:sz w:val="24"/>
        </w:rPr>
        <w:t xml:space="preserve"> </w:t>
      </w:r>
      <w:r>
        <w:rPr>
          <w:rFonts w:ascii="宋体" w:hAnsi="宋体"/>
          <w:sz w:val="24"/>
        </w:rPr>
        <w:t> </w:t>
      </w:r>
      <w:r>
        <w:rPr>
          <w:rFonts w:hint="eastAsia" w:ascii="宋体" w:hAnsi="宋体"/>
          <w:sz w:val="24"/>
        </w:rPr>
        <w:t>采购项目的申请。依据项目立项内容、项目经费预算或经费来源落实情况，使用部门应在计划下达30日内，将《衢州学院采购项目申报表》（附件1）附项目采购方案，经学校经费归口管理部门、项目归口管理部门审核论证通过后报学校采购办，由学校采购办按</w:t>
      </w:r>
      <w:r>
        <w:rPr>
          <w:rFonts w:hint="eastAsia" w:ascii="宋体" w:hAnsi="宋体"/>
          <w:b/>
          <w:bCs/>
          <w:sz w:val="24"/>
        </w:rPr>
        <w:t>第十四条</w:t>
      </w:r>
      <w:r>
        <w:rPr>
          <w:rFonts w:hint="eastAsia" w:ascii="宋体" w:hAnsi="宋体"/>
          <w:sz w:val="24"/>
        </w:rPr>
        <w:t xml:space="preserve">规定进行审批或报批。项目采购方案主要包括以下书面材料： </w:t>
      </w:r>
    </w:p>
    <w:p>
      <w:pPr>
        <w:adjustRightInd w:val="0"/>
        <w:snapToGrid w:val="0"/>
        <w:spacing w:line="460" w:lineRule="exact"/>
        <w:ind w:firstLine="480" w:firstLineChars="200"/>
        <w:rPr>
          <w:rFonts w:ascii="宋体" w:hAnsi="宋体"/>
          <w:sz w:val="24"/>
        </w:rPr>
      </w:pPr>
      <w:r>
        <w:rPr>
          <w:rFonts w:hint="eastAsia" w:ascii="宋体" w:hAnsi="宋体"/>
          <w:sz w:val="24"/>
        </w:rPr>
        <w:t>（一）采购项目名称及其内容</w:t>
      </w:r>
    </w:p>
    <w:p>
      <w:pPr>
        <w:adjustRightInd w:val="0"/>
        <w:snapToGrid w:val="0"/>
        <w:spacing w:line="460" w:lineRule="exact"/>
        <w:ind w:firstLine="480" w:firstLineChars="200"/>
        <w:rPr>
          <w:rFonts w:ascii="宋体" w:hAnsi="宋体"/>
          <w:sz w:val="24"/>
        </w:rPr>
      </w:pPr>
      <w:r>
        <w:rPr>
          <w:rFonts w:hint="eastAsia" w:ascii="宋体" w:hAnsi="宋体"/>
          <w:sz w:val="24"/>
        </w:rPr>
        <w:t>1.工程类：建设工程或维修工程项目的工程量清单、施工图纸等相关资料；</w:t>
      </w:r>
    </w:p>
    <w:p>
      <w:pPr>
        <w:adjustRightInd w:val="0"/>
        <w:snapToGrid w:val="0"/>
        <w:spacing w:line="460" w:lineRule="exact"/>
        <w:ind w:firstLine="480" w:firstLineChars="200"/>
        <w:rPr>
          <w:rFonts w:ascii="宋体" w:hAnsi="宋体"/>
          <w:sz w:val="24"/>
        </w:rPr>
      </w:pPr>
      <w:r>
        <w:rPr>
          <w:rFonts w:hint="eastAsia" w:ascii="宋体" w:hAnsi="宋体"/>
          <w:sz w:val="24"/>
        </w:rPr>
        <w:t>2.货物类：拟购置的仪器设备清单、技术参数，根据实际情况可提供前期必要的技术、市场、服务的调研和专家论证意见等资料（大型仪器设备须提供经由专家论证后的可行性报告）；</w:t>
      </w:r>
    </w:p>
    <w:p>
      <w:pPr>
        <w:adjustRightInd w:val="0"/>
        <w:snapToGrid w:val="0"/>
        <w:spacing w:line="460" w:lineRule="exact"/>
        <w:ind w:firstLine="480" w:firstLineChars="200"/>
        <w:rPr>
          <w:rFonts w:ascii="宋体" w:hAnsi="宋体"/>
          <w:sz w:val="24"/>
        </w:rPr>
      </w:pPr>
      <w:r>
        <w:rPr>
          <w:rFonts w:hint="eastAsia" w:ascii="宋体" w:hAnsi="宋体"/>
          <w:sz w:val="24"/>
        </w:rPr>
        <w:t>3.服务类：拟采购服务实施的时间、质量标准、技术要求或规范等；</w:t>
      </w:r>
    </w:p>
    <w:p>
      <w:pPr>
        <w:adjustRightInd w:val="0"/>
        <w:snapToGrid w:val="0"/>
        <w:spacing w:line="460" w:lineRule="exact"/>
        <w:ind w:firstLine="480" w:firstLineChars="200"/>
        <w:rPr>
          <w:rFonts w:ascii="宋体" w:hAnsi="宋体"/>
          <w:sz w:val="24"/>
        </w:rPr>
      </w:pPr>
      <w:r>
        <w:rPr>
          <w:rFonts w:hint="eastAsia" w:ascii="宋体" w:hAnsi="宋体"/>
          <w:sz w:val="24"/>
        </w:rPr>
        <w:t>（二）采购项目的完成时间（竣工时间或到货时间）；</w:t>
      </w:r>
    </w:p>
    <w:p>
      <w:pPr>
        <w:adjustRightInd w:val="0"/>
        <w:snapToGrid w:val="0"/>
        <w:spacing w:line="460" w:lineRule="exact"/>
        <w:ind w:firstLine="480" w:firstLineChars="200"/>
        <w:rPr>
          <w:rFonts w:ascii="宋体" w:hAnsi="宋体"/>
          <w:sz w:val="24"/>
        </w:rPr>
      </w:pPr>
      <w:r>
        <w:rPr>
          <w:rFonts w:hint="eastAsia" w:ascii="宋体" w:hAnsi="宋体"/>
          <w:sz w:val="24"/>
        </w:rPr>
        <w:t>（三）采购项目的质保年限；</w:t>
      </w:r>
    </w:p>
    <w:p>
      <w:pPr>
        <w:adjustRightInd w:val="0"/>
        <w:snapToGrid w:val="0"/>
        <w:spacing w:line="460" w:lineRule="exact"/>
        <w:ind w:firstLine="480" w:firstLineChars="200"/>
        <w:rPr>
          <w:rFonts w:ascii="宋体" w:hAnsi="宋体"/>
          <w:sz w:val="24"/>
        </w:rPr>
      </w:pPr>
      <w:r>
        <w:rPr>
          <w:rFonts w:hint="eastAsia" w:ascii="宋体" w:hAnsi="宋体"/>
          <w:sz w:val="24"/>
        </w:rPr>
        <w:t>（四）投标人所应具有的特定资质条件。</w:t>
      </w:r>
    </w:p>
    <w:p>
      <w:pPr>
        <w:adjustRightInd w:val="0"/>
        <w:snapToGrid w:val="0"/>
        <w:spacing w:line="460" w:lineRule="exact"/>
        <w:ind w:firstLine="482" w:firstLineChars="200"/>
        <w:rPr>
          <w:rFonts w:ascii="宋体" w:hAnsi="宋体"/>
          <w:sz w:val="24"/>
        </w:rPr>
      </w:pPr>
      <w:r>
        <w:rPr>
          <w:rFonts w:hint="eastAsia" w:ascii="宋体" w:hAnsi="宋体"/>
          <w:b/>
          <w:bCs/>
          <w:sz w:val="24"/>
        </w:rPr>
        <w:t>第十四条</w:t>
      </w:r>
      <w:r>
        <w:rPr>
          <w:rFonts w:ascii="宋体" w:hAnsi="宋体"/>
          <w:sz w:val="24"/>
        </w:rPr>
        <w:t> </w:t>
      </w:r>
      <w:r>
        <w:rPr>
          <w:rFonts w:hint="eastAsia" w:ascii="宋体" w:hAnsi="宋体"/>
          <w:sz w:val="24"/>
        </w:rPr>
        <w:t xml:space="preserve"> 采购项目的审批。单项或年度批量预算金额5万元及以上项目的采购活动，原则上以公开招标方式完成采购。因特殊情况并符合</w:t>
      </w:r>
      <w:r>
        <w:rPr>
          <w:rFonts w:hint="eastAsia" w:ascii="宋体" w:hAnsi="宋体"/>
          <w:b/>
          <w:bCs/>
          <w:sz w:val="24"/>
        </w:rPr>
        <w:t>第十条</w:t>
      </w:r>
      <w:r>
        <w:rPr>
          <w:rFonts w:hint="eastAsia" w:ascii="宋体" w:hAnsi="宋体"/>
          <w:sz w:val="24"/>
        </w:rPr>
        <w:t>规定条件的，在履行审批程序后可采用非公开招标方式进行采购。</w:t>
      </w:r>
    </w:p>
    <w:p>
      <w:pPr>
        <w:adjustRightInd w:val="0"/>
        <w:snapToGrid w:val="0"/>
        <w:spacing w:line="460" w:lineRule="exact"/>
        <w:ind w:firstLine="480" w:firstLineChars="200"/>
        <w:rPr>
          <w:rFonts w:ascii="宋体" w:hAnsi="宋体"/>
          <w:sz w:val="24"/>
        </w:rPr>
      </w:pPr>
      <w:r>
        <w:rPr>
          <w:rFonts w:hint="eastAsia" w:ascii="宋体" w:hAnsi="宋体"/>
          <w:sz w:val="24"/>
        </w:rPr>
        <w:t>（一）公开招标采购项目的审批</w:t>
      </w:r>
    </w:p>
    <w:p>
      <w:pPr>
        <w:adjustRightInd w:val="0"/>
        <w:snapToGrid w:val="0"/>
        <w:spacing w:line="460" w:lineRule="exact"/>
        <w:ind w:firstLine="480" w:firstLineChars="200"/>
        <w:rPr>
          <w:rFonts w:ascii="宋体" w:hAnsi="宋体"/>
          <w:sz w:val="24"/>
        </w:rPr>
      </w:pPr>
      <w:r>
        <w:rPr>
          <w:rFonts w:hint="eastAsia" w:ascii="宋体" w:hAnsi="宋体"/>
          <w:sz w:val="24"/>
        </w:rPr>
        <w:t>单项或年度批量预算金额在5万元至50万元以下的项目，经学校采购办审核通过后，由分管采购工作的校领导审批，其中10万元及以上货物和服务类项目须报市级采购主管部门审批；50万元及以上的项目，经学校采购办审核通过后，提请学校采购工作领导小组审议，报市评审中心评审，其中货物及服务类项目还须报市级采购主管部门审批。</w:t>
      </w:r>
    </w:p>
    <w:p>
      <w:pPr>
        <w:adjustRightInd w:val="0"/>
        <w:snapToGrid w:val="0"/>
        <w:spacing w:line="460" w:lineRule="exact"/>
        <w:ind w:firstLine="480" w:firstLineChars="200"/>
        <w:rPr>
          <w:rFonts w:ascii="宋体" w:hAnsi="宋体"/>
          <w:sz w:val="24"/>
        </w:rPr>
      </w:pPr>
      <w:r>
        <w:rPr>
          <w:rFonts w:hint="eastAsia" w:ascii="宋体" w:hAnsi="宋体"/>
          <w:sz w:val="24"/>
        </w:rPr>
        <w:t>（二）其他非公开招标采购项目的审批</w:t>
      </w:r>
    </w:p>
    <w:p>
      <w:pPr>
        <w:adjustRightInd w:val="0"/>
        <w:snapToGrid w:val="0"/>
        <w:spacing w:line="460" w:lineRule="exact"/>
        <w:ind w:firstLine="480" w:firstLineChars="200"/>
        <w:rPr>
          <w:rFonts w:ascii="宋体" w:hAnsi="宋体"/>
          <w:sz w:val="24"/>
        </w:rPr>
      </w:pPr>
      <w:r>
        <w:rPr>
          <w:rFonts w:hint="eastAsia" w:ascii="宋体" w:hAnsi="宋体"/>
          <w:sz w:val="24"/>
        </w:rPr>
        <w:t>1.单项或年度批量预算金额在5千元至5万元以下的项目，由学校采购办审批；</w:t>
      </w:r>
    </w:p>
    <w:p>
      <w:pPr>
        <w:adjustRightInd w:val="0"/>
        <w:snapToGrid w:val="0"/>
        <w:spacing w:line="460" w:lineRule="exact"/>
        <w:ind w:firstLine="480" w:firstLineChars="200"/>
        <w:rPr>
          <w:rFonts w:ascii="宋体" w:hAnsi="宋体"/>
          <w:sz w:val="24"/>
        </w:rPr>
      </w:pPr>
      <w:r>
        <w:rPr>
          <w:rFonts w:hint="eastAsia" w:ascii="宋体" w:hAnsi="宋体"/>
          <w:sz w:val="24"/>
        </w:rPr>
        <w:t>2.单项或年度批量预算金额在5万元及以上的项目参照上述第一款规定履行审批程序。其中5万元至10万元以下且采用单一来源的项目须报校长办公会审议，10万元及以上且采用单一来源的项目须报市级采购主管部门审批。</w:t>
      </w:r>
    </w:p>
    <w:p>
      <w:pPr>
        <w:numPr>
          <w:ilvl w:val="0"/>
          <w:numId w:val="12"/>
        </w:numPr>
        <w:adjustRightInd w:val="0"/>
        <w:snapToGrid w:val="0"/>
        <w:spacing w:line="460" w:lineRule="exact"/>
        <w:ind w:firstLine="640" w:firstLineChars="200"/>
        <w:jc w:val="center"/>
        <w:rPr>
          <w:rFonts w:ascii="黑体" w:hAnsi="黑体" w:eastAsia="黑体" w:cs="黑体"/>
          <w:color w:val="000000"/>
          <w:sz w:val="32"/>
          <w:szCs w:val="32"/>
        </w:rPr>
      </w:pPr>
      <w:r>
        <w:rPr>
          <w:rFonts w:eastAsia="黑体" w:cs="Calibri"/>
          <w:color w:val="000000"/>
          <w:sz w:val="32"/>
          <w:szCs w:val="32"/>
        </w:rPr>
        <w:t> </w:t>
      </w:r>
      <w:r>
        <w:rPr>
          <w:rFonts w:hint="eastAsia" w:ascii="黑体" w:hAnsi="黑体" w:eastAsia="黑体" w:cs="黑体"/>
          <w:color w:val="000000"/>
          <w:sz w:val="32"/>
          <w:szCs w:val="32"/>
        </w:rPr>
        <w:t>公开招标（邀请招标）采购程序</w:t>
      </w:r>
    </w:p>
    <w:p>
      <w:pPr>
        <w:adjustRightInd w:val="0"/>
        <w:snapToGrid w:val="0"/>
        <w:spacing w:line="460" w:lineRule="exact"/>
        <w:ind w:firstLine="482" w:firstLineChars="200"/>
        <w:rPr>
          <w:rFonts w:ascii="宋体" w:hAnsi="宋体"/>
          <w:sz w:val="24"/>
        </w:rPr>
      </w:pPr>
      <w:r>
        <w:rPr>
          <w:rFonts w:hint="eastAsia" w:ascii="宋体" w:hAnsi="宋体"/>
          <w:b/>
          <w:bCs/>
          <w:sz w:val="24"/>
        </w:rPr>
        <w:t>第十五条</w:t>
      </w:r>
      <w:r>
        <w:rPr>
          <w:rFonts w:hint="eastAsia" w:ascii="宋体" w:hAnsi="宋体"/>
          <w:sz w:val="24"/>
        </w:rPr>
        <w:t xml:space="preserve"> 制定招标文件。招标文件由使用部门负责拟定，归口管理部门负责审查，学校采购办负责业务指导和审核。其主要内容包括：招标公告、投标须知、招标内容和要求、合同主要条款等。</w:t>
      </w:r>
    </w:p>
    <w:p>
      <w:pPr>
        <w:adjustRightInd w:val="0"/>
        <w:snapToGrid w:val="0"/>
        <w:spacing w:line="460" w:lineRule="exact"/>
        <w:ind w:firstLine="482" w:firstLineChars="200"/>
        <w:rPr>
          <w:rFonts w:ascii="宋体" w:hAnsi="宋体"/>
          <w:sz w:val="24"/>
        </w:rPr>
      </w:pPr>
      <w:r>
        <w:rPr>
          <w:rFonts w:hint="eastAsia" w:ascii="宋体" w:hAnsi="宋体"/>
          <w:b/>
          <w:bCs/>
          <w:sz w:val="24"/>
        </w:rPr>
        <w:t>第十六条</w:t>
      </w:r>
      <w:r>
        <w:rPr>
          <w:rFonts w:hint="eastAsia" w:ascii="宋体" w:hAnsi="宋体"/>
          <w:sz w:val="24"/>
        </w:rPr>
        <w:t xml:space="preserve">  确定评标方法。评标办法应在招标文件中予以明确，一般可采取最低评标价法、综合评分法和性价比法等三种评标形式。</w:t>
      </w:r>
    </w:p>
    <w:p>
      <w:pPr>
        <w:adjustRightInd w:val="0"/>
        <w:snapToGrid w:val="0"/>
        <w:spacing w:line="460" w:lineRule="exact"/>
        <w:ind w:firstLine="480" w:firstLineChars="200"/>
        <w:rPr>
          <w:rFonts w:ascii="宋体" w:hAnsi="宋体"/>
          <w:sz w:val="24"/>
        </w:rPr>
      </w:pPr>
      <w:r>
        <w:rPr>
          <w:rFonts w:hint="eastAsia" w:ascii="宋体" w:hAnsi="宋体"/>
          <w:sz w:val="24"/>
        </w:rPr>
        <w:t>（一）最低评标价法是以价格为主要因素确定中标候选人的评标方法，即在全部满足招标文件实质性要求前提下，依据统一的价格要素评定最低报价，以最低报价的投标人作为中标候选人的评标方法。</w:t>
      </w:r>
    </w:p>
    <w:p>
      <w:pPr>
        <w:adjustRightInd w:val="0"/>
        <w:snapToGrid w:val="0"/>
        <w:spacing w:line="460" w:lineRule="exact"/>
        <w:ind w:firstLine="480" w:firstLineChars="200"/>
        <w:rPr>
          <w:rFonts w:ascii="宋体" w:hAnsi="宋体"/>
          <w:sz w:val="24"/>
        </w:rPr>
      </w:pPr>
      <w:r>
        <w:rPr>
          <w:rFonts w:hint="eastAsia" w:ascii="宋体" w:hAnsi="宋体"/>
          <w:sz w:val="24"/>
        </w:rPr>
        <w:t>（二）综合评分法是在最大限度地满足招标文件实质性要求前提下，按照招标文件中规定的各项因素进行综合评审后，以得分最高的投标人作为中标候选人的评标方法。综合因素包括：技术性能和质量、供应商资质和业绩，价格，售后服务承诺以及相关的技术培训和服务等。</w:t>
      </w:r>
    </w:p>
    <w:p>
      <w:pPr>
        <w:adjustRightInd w:val="0"/>
        <w:snapToGrid w:val="0"/>
        <w:spacing w:line="460" w:lineRule="exact"/>
        <w:ind w:firstLine="480" w:firstLineChars="200"/>
        <w:rPr>
          <w:rFonts w:ascii="宋体" w:hAnsi="宋体"/>
          <w:sz w:val="24"/>
        </w:rPr>
      </w:pPr>
      <w:r>
        <w:rPr>
          <w:rFonts w:hint="eastAsia" w:ascii="宋体" w:hAnsi="宋体"/>
          <w:sz w:val="24"/>
        </w:rPr>
        <w:t>（三）性价比法是按照招标文件要求对投标文件进行评审后，计算出每个有效投标人除价格因素以外的其他各项评分因素（包括技术、信誉、业绩、服务、对招标文件的响应程度等）的汇总得分，除以该投标人的投标报价，以商数（评标总得分）最高的投标人为中标候选人的评标方法。</w:t>
      </w:r>
    </w:p>
    <w:p>
      <w:pPr>
        <w:adjustRightInd w:val="0"/>
        <w:snapToGrid w:val="0"/>
        <w:spacing w:line="460" w:lineRule="exact"/>
        <w:ind w:firstLine="482" w:firstLineChars="200"/>
        <w:rPr>
          <w:rFonts w:ascii="宋体" w:hAnsi="宋体"/>
          <w:sz w:val="24"/>
        </w:rPr>
      </w:pPr>
      <w:r>
        <w:rPr>
          <w:rFonts w:hint="eastAsia" w:ascii="宋体" w:hAnsi="宋体"/>
          <w:b/>
          <w:bCs/>
          <w:sz w:val="24"/>
        </w:rPr>
        <w:t>第十七条</w:t>
      </w:r>
      <w:r>
        <w:rPr>
          <w:rFonts w:hint="eastAsia" w:ascii="宋体" w:hAnsi="宋体"/>
          <w:sz w:val="24"/>
        </w:rPr>
        <w:t xml:space="preserve"> </w:t>
      </w:r>
      <w:r>
        <w:rPr>
          <w:rFonts w:ascii="宋体" w:hAnsi="宋体"/>
          <w:sz w:val="24"/>
        </w:rPr>
        <w:t> </w:t>
      </w:r>
      <w:r>
        <w:rPr>
          <w:rFonts w:hint="eastAsia" w:ascii="宋体" w:hAnsi="宋体"/>
          <w:sz w:val="24"/>
        </w:rPr>
        <w:t>发布招标信息。招标信息由学校采购办根据项目情况，在指定媒体上发布招标公告。其中公开招标发布时间不得少于二十日（自发布之日起至投标人提交投标文件截止之日止）。</w:t>
      </w:r>
    </w:p>
    <w:p>
      <w:pPr>
        <w:adjustRightInd w:val="0"/>
        <w:snapToGrid w:val="0"/>
        <w:spacing w:line="460" w:lineRule="exact"/>
        <w:ind w:firstLine="482" w:firstLineChars="200"/>
        <w:rPr>
          <w:rFonts w:ascii="宋体" w:hAnsi="宋体"/>
          <w:sz w:val="24"/>
        </w:rPr>
      </w:pPr>
      <w:r>
        <w:rPr>
          <w:rFonts w:hint="eastAsia" w:ascii="宋体" w:hAnsi="宋体"/>
          <w:b/>
          <w:bCs/>
          <w:sz w:val="24"/>
        </w:rPr>
        <w:t>第十八条</w:t>
      </w:r>
      <w:r>
        <w:rPr>
          <w:rFonts w:hint="eastAsia" w:ascii="宋体" w:hAnsi="宋体"/>
          <w:sz w:val="24"/>
        </w:rPr>
        <w:t xml:space="preserve"> </w:t>
      </w:r>
      <w:r>
        <w:rPr>
          <w:rFonts w:ascii="宋体" w:hAnsi="宋体"/>
          <w:sz w:val="24"/>
        </w:rPr>
        <w:t> </w:t>
      </w:r>
      <w:r>
        <w:rPr>
          <w:rFonts w:hint="eastAsia" w:ascii="宋体" w:hAnsi="宋体"/>
          <w:sz w:val="24"/>
        </w:rPr>
        <w:t>接受投标报名。学校采购办按照招标公告要求接受投标人的报名、审查投标资格，对合格的投标人进行登记并发放招标文件。</w:t>
      </w:r>
    </w:p>
    <w:p>
      <w:pPr>
        <w:adjustRightInd w:val="0"/>
        <w:snapToGrid w:val="0"/>
        <w:spacing w:line="460" w:lineRule="exact"/>
        <w:ind w:firstLine="482" w:firstLineChars="200"/>
        <w:rPr>
          <w:rFonts w:ascii="宋体" w:hAnsi="宋体"/>
          <w:sz w:val="24"/>
        </w:rPr>
      </w:pPr>
      <w:r>
        <w:rPr>
          <w:rFonts w:hint="eastAsia" w:ascii="宋体" w:hAnsi="宋体"/>
          <w:b/>
          <w:bCs/>
          <w:sz w:val="24"/>
        </w:rPr>
        <w:t>第十九条</w:t>
      </w:r>
      <w:r>
        <w:rPr>
          <w:rFonts w:hint="eastAsia" w:ascii="宋体" w:hAnsi="宋体"/>
          <w:sz w:val="24"/>
        </w:rPr>
        <w:t xml:space="preserve"> </w:t>
      </w:r>
      <w:r>
        <w:rPr>
          <w:rFonts w:ascii="宋体" w:hAnsi="宋体"/>
          <w:sz w:val="24"/>
        </w:rPr>
        <w:t> </w:t>
      </w:r>
      <w:r>
        <w:rPr>
          <w:rFonts w:hint="eastAsia" w:ascii="宋体" w:hAnsi="宋体"/>
          <w:sz w:val="24"/>
        </w:rPr>
        <w:t>接受招标答疑。若投标报名人无法完全理解招标文件中有关项目技术指标内容或招标项目还需作进一步解释的，由学校采购办应会同归口管理部门和使用部门负责招标答疑。需要对投标人进行考察的由归口管理部门或使用部门组织，学校采购办配合。</w:t>
      </w:r>
    </w:p>
    <w:p>
      <w:pPr>
        <w:adjustRightInd w:val="0"/>
        <w:snapToGrid w:val="0"/>
        <w:spacing w:line="460" w:lineRule="exact"/>
        <w:ind w:firstLine="482" w:firstLineChars="200"/>
        <w:rPr>
          <w:rFonts w:ascii="宋体" w:hAnsi="宋体"/>
          <w:sz w:val="24"/>
        </w:rPr>
      </w:pPr>
      <w:r>
        <w:rPr>
          <w:rFonts w:hint="eastAsia" w:ascii="宋体" w:hAnsi="宋体"/>
          <w:b/>
          <w:bCs/>
          <w:sz w:val="24"/>
        </w:rPr>
        <w:t>第二十条</w:t>
      </w:r>
      <w:r>
        <w:rPr>
          <w:rFonts w:hint="eastAsia" w:ascii="宋体" w:hAnsi="宋体"/>
          <w:sz w:val="24"/>
        </w:rPr>
        <w:t xml:space="preserve"> </w:t>
      </w:r>
      <w:r>
        <w:rPr>
          <w:rFonts w:ascii="宋体" w:hAnsi="宋体"/>
          <w:sz w:val="24"/>
        </w:rPr>
        <w:t> </w:t>
      </w:r>
      <w:r>
        <w:rPr>
          <w:rFonts w:hint="eastAsia" w:ascii="宋体" w:hAnsi="宋体"/>
          <w:sz w:val="24"/>
        </w:rPr>
        <w:t>提交投标保证金。投标人应按照招标文件规定足额交纳投标保证金。</w:t>
      </w:r>
    </w:p>
    <w:p>
      <w:pPr>
        <w:adjustRightInd w:val="0"/>
        <w:snapToGrid w:val="0"/>
        <w:spacing w:line="460" w:lineRule="exact"/>
        <w:ind w:firstLine="482" w:firstLineChars="200"/>
        <w:rPr>
          <w:rFonts w:ascii="宋体" w:hAnsi="宋体"/>
          <w:sz w:val="24"/>
        </w:rPr>
      </w:pPr>
      <w:r>
        <w:rPr>
          <w:rFonts w:hint="eastAsia" w:ascii="宋体" w:hAnsi="宋体"/>
          <w:b/>
          <w:bCs/>
          <w:sz w:val="24"/>
        </w:rPr>
        <w:t>第二十一条</w:t>
      </w:r>
      <w:r>
        <w:rPr>
          <w:rFonts w:hint="eastAsia" w:ascii="宋体" w:hAnsi="宋体"/>
          <w:sz w:val="24"/>
        </w:rPr>
        <w:t xml:space="preserve"> </w:t>
      </w:r>
      <w:r>
        <w:rPr>
          <w:rFonts w:ascii="宋体" w:hAnsi="宋体"/>
          <w:sz w:val="24"/>
        </w:rPr>
        <w:t> </w:t>
      </w:r>
      <w:r>
        <w:rPr>
          <w:rFonts w:hint="eastAsia" w:ascii="宋体" w:hAnsi="宋体"/>
          <w:sz w:val="24"/>
        </w:rPr>
        <w:t xml:space="preserve">接收投标文件。学校采购办负责接收投标人在规定时间内送达的投标文件并做相应的记录。由于投标人的原因，逾期未在规定时间内送达的投标文件，学校采购办将不予接收。 </w:t>
      </w:r>
    </w:p>
    <w:p>
      <w:pPr>
        <w:adjustRightInd w:val="0"/>
        <w:snapToGrid w:val="0"/>
        <w:spacing w:line="460" w:lineRule="exact"/>
        <w:ind w:firstLine="482" w:firstLineChars="200"/>
        <w:rPr>
          <w:rFonts w:ascii="宋体" w:hAnsi="宋体"/>
          <w:sz w:val="24"/>
        </w:rPr>
      </w:pPr>
      <w:r>
        <w:rPr>
          <w:rFonts w:hint="eastAsia" w:ascii="宋体" w:hAnsi="宋体"/>
          <w:b/>
          <w:bCs/>
          <w:sz w:val="24"/>
        </w:rPr>
        <w:t>第二十二条</w:t>
      </w:r>
      <w:r>
        <w:rPr>
          <w:rFonts w:hint="eastAsia" w:ascii="宋体" w:hAnsi="宋体"/>
          <w:sz w:val="24"/>
        </w:rPr>
        <w:t xml:space="preserve"> </w:t>
      </w:r>
      <w:r>
        <w:rPr>
          <w:rFonts w:ascii="宋体" w:hAnsi="宋体"/>
          <w:sz w:val="24"/>
        </w:rPr>
        <w:t> </w:t>
      </w:r>
      <w:r>
        <w:rPr>
          <w:rFonts w:hint="eastAsia" w:ascii="宋体" w:hAnsi="宋体"/>
          <w:sz w:val="24"/>
        </w:rPr>
        <w:t>开标、评标与定标。由学校采购办组织实施，具体工作及程序如下：</w:t>
      </w:r>
    </w:p>
    <w:p>
      <w:pPr>
        <w:adjustRightInd w:val="0"/>
        <w:snapToGrid w:val="0"/>
        <w:spacing w:line="460" w:lineRule="exact"/>
        <w:ind w:firstLine="480" w:firstLineChars="200"/>
        <w:rPr>
          <w:rFonts w:ascii="宋体" w:hAnsi="宋体"/>
          <w:sz w:val="24"/>
        </w:rPr>
      </w:pPr>
      <w:r>
        <w:rPr>
          <w:rFonts w:hint="eastAsia" w:ascii="宋体" w:hAnsi="宋体"/>
          <w:sz w:val="24"/>
        </w:rPr>
        <w:t>（一）开标。由学校采购办按照招标文件或投标邀请书规定的时间、地点组织进行。其主要内容包括：宣布招标纪律、核验投标人的身份及资质、检验投标文件密封情况、启封投标文件、唱标等。</w:t>
      </w:r>
    </w:p>
    <w:p>
      <w:pPr>
        <w:adjustRightInd w:val="0"/>
        <w:snapToGrid w:val="0"/>
        <w:spacing w:line="460" w:lineRule="exact"/>
        <w:ind w:firstLine="480" w:firstLineChars="200"/>
        <w:rPr>
          <w:rFonts w:ascii="宋体" w:hAnsi="宋体"/>
          <w:sz w:val="24"/>
        </w:rPr>
      </w:pPr>
      <w:r>
        <w:rPr>
          <w:rFonts w:hint="eastAsia" w:ascii="宋体" w:hAnsi="宋体"/>
          <w:sz w:val="24"/>
        </w:rPr>
        <w:t>（二）评标。评标由评审专家组负责，任何单位和个人不得干预和影响评审专家组成员独立、公正评审。</w:t>
      </w:r>
    </w:p>
    <w:p>
      <w:pPr>
        <w:adjustRightInd w:val="0"/>
        <w:snapToGrid w:val="0"/>
        <w:spacing w:line="460" w:lineRule="exact"/>
        <w:ind w:firstLine="480" w:firstLineChars="200"/>
        <w:rPr>
          <w:rFonts w:ascii="宋体" w:hAnsi="宋体"/>
          <w:sz w:val="24"/>
        </w:rPr>
      </w:pPr>
      <w:r>
        <w:rPr>
          <w:rFonts w:hint="eastAsia" w:ascii="宋体" w:hAnsi="宋体"/>
          <w:sz w:val="24"/>
        </w:rPr>
        <w:t>1.抽取评审专家。由学校采购办在学校专家库中按相关规定随机抽取并通知评审专家。采购项目负责人一般不担任本项目评审专家，必要时可列席评审会议。</w:t>
      </w:r>
    </w:p>
    <w:p>
      <w:pPr>
        <w:adjustRightInd w:val="0"/>
        <w:snapToGrid w:val="0"/>
        <w:spacing w:line="460" w:lineRule="exact"/>
        <w:ind w:firstLine="480" w:firstLineChars="200"/>
        <w:rPr>
          <w:rFonts w:ascii="宋体" w:hAnsi="宋体"/>
          <w:sz w:val="24"/>
        </w:rPr>
      </w:pPr>
      <w:r>
        <w:rPr>
          <w:rFonts w:hint="eastAsia" w:ascii="宋体" w:hAnsi="宋体"/>
          <w:sz w:val="24"/>
        </w:rPr>
        <w:t>2.召开评审会议。评审会议由学校采购办主持，并做好采购活动记录、填写《衢州学院采购情况记录表》（附件2）；评审专家组按照采购文件规定的评审程序、评审方法和评分标准开展评审工作。</w:t>
      </w:r>
    </w:p>
    <w:p>
      <w:pPr>
        <w:adjustRightInd w:val="0"/>
        <w:snapToGrid w:val="0"/>
        <w:spacing w:line="460" w:lineRule="exact"/>
        <w:ind w:firstLine="480" w:firstLineChars="200"/>
        <w:rPr>
          <w:rFonts w:ascii="宋体" w:hAnsi="宋体"/>
          <w:sz w:val="24"/>
        </w:rPr>
      </w:pPr>
      <w:r>
        <w:rPr>
          <w:rFonts w:hint="eastAsia" w:ascii="宋体" w:hAnsi="宋体"/>
          <w:sz w:val="24"/>
        </w:rPr>
        <w:t>3.提交评审报告。评审专家组完成评审后，应提交书面评审报告。其主要内容包括：招标项目名称、开标日期和地点、投标人名单和评审专家名单、评审标准与方法、无效投标人名单及废标原因、评审结果及中标候选人、评审专家及有关人员签字确认。</w:t>
      </w:r>
    </w:p>
    <w:p>
      <w:pPr>
        <w:adjustRightInd w:val="0"/>
        <w:snapToGrid w:val="0"/>
        <w:spacing w:line="460" w:lineRule="exact"/>
        <w:ind w:firstLine="480" w:firstLineChars="200"/>
        <w:rPr>
          <w:rFonts w:ascii="宋体" w:hAnsi="宋体"/>
          <w:sz w:val="24"/>
        </w:rPr>
      </w:pPr>
      <w:r>
        <w:rPr>
          <w:rFonts w:hint="eastAsia" w:ascii="宋体" w:hAnsi="宋体"/>
          <w:sz w:val="24"/>
        </w:rPr>
        <w:t>（三）中标公告公示。学校采购办按照评审专家组的评审结果，对中标候选人在指定媒体上进行公示。</w:t>
      </w:r>
    </w:p>
    <w:p>
      <w:pPr>
        <w:adjustRightInd w:val="0"/>
        <w:snapToGrid w:val="0"/>
        <w:spacing w:line="460" w:lineRule="exact"/>
        <w:ind w:firstLine="480" w:firstLineChars="200"/>
        <w:rPr>
          <w:rFonts w:ascii="宋体" w:hAnsi="宋体"/>
          <w:sz w:val="24"/>
        </w:rPr>
      </w:pPr>
      <w:r>
        <w:rPr>
          <w:rFonts w:hint="eastAsia" w:ascii="宋体" w:hAnsi="宋体"/>
          <w:sz w:val="24"/>
        </w:rPr>
        <w:t>（四）定标。中标公告公示结束后，如无异议确定中标候选人为中标人。</w:t>
      </w:r>
    </w:p>
    <w:p>
      <w:pPr>
        <w:adjustRightInd w:val="0"/>
        <w:snapToGrid w:val="0"/>
        <w:spacing w:line="460" w:lineRule="exact"/>
        <w:ind w:firstLine="480" w:firstLineChars="200"/>
        <w:rPr>
          <w:rFonts w:ascii="宋体" w:hAnsi="宋体"/>
          <w:sz w:val="24"/>
        </w:rPr>
      </w:pPr>
      <w:r>
        <w:rPr>
          <w:rFonts w:hint="eastAsia" w:ascii="宋体" w:hAnsi="宋体"/>
          <w:sz w:val="24"/>
        </w:rPr>
        <w:t>（五）发出中标通知书。中标人确定后，学校采购办原则上在三个工作日内向中标人发出中标通知书。</w:t>
      </w:r>
    </w:p>
    <w:p>
      <w:pPr>
        <w:adjustRightInd w:val="0"/>
        <w:snapToGrid w:val="0"/>
        <w:spacing w:line="460" w:lineRule="exact"/>
        <w:ind w:firstLine="480" w:firstLineChars="200"/>
        <w:rPr>
          <w:rFonts w:ascii="宋体" w:hAnsi="宋体"/>
          <w:sz w:val="24"/>
        </w:rPr>
      </w:pPr>
      <w:r>
        <w:rPr>
          <w:rFonts w:hint="eastAsia" w:ascii="宋体" w:hAnsi="宋体"/>
          <w:sz w:val="24"/>
        </w:rPr>
        <w:t>（六）退还投标保证金。未中标人在开标结束后七个工作日内退还投标保证金；中标人在合同签订后七个工作日内退还投标保证金或转为履约保证金。</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hint="eastAsia" w:ascii="黑体" w:hAnsi="黑体" w:eastAsia="黑体" w:cs="黑体"/>
          <w:color w:val="000000"/>
          <w:sz w:val="32"/>
          <w:szCs w:val="32"/>
        </w:rPr>
        <w:t>其他非公开招标方式采购</w:t>
      </w:r>
      <w:r>
        <w:rPr>
          <w:rFonts w:hint="eastAsia" w:ascii="黑体" w:hAnsi="黑体" w:eastAsia="黑体" w:cs="黑体"/>
          <w:sz w:val="32"/>
          <w:szCs w:val="32"/>
        </w:rPr>
        <w:t>程序</w:t>
      </w:r>
    </w:p>
    <w:p>
      <w:pPr>
        <w:adjustRightInd w:val="0"/>
        <w:snapToGrid w:val="0"/>
        <w:spacing w:line="460" w:lineRule="exact"/>
        <w:ind w:firstLine="482" w:firstLineChars="200"/>
        <w:rPr>
          <w:rFonts w:ascii="宋体" w:hAnsi="宋体"/>
          <w:sz w:val="24"/>
        </w:rPr>
      </w:pPr>
      <w:r>
        <w:rPr>
          <w:rFonts w:hint="eastAsia" w:ascii="宋体" w:hAnsi="宋体"/>
          <w:b/>
          <w:bCs/>
          <w:sz w:val="24"/>
        </w:rPr>
        <w:t>第二十三条</w:t>
      </w:r>
      <w:r>
        <w:rPr>
          <w:rFonts w:hint="eastAsia" w:ascii="宋体" w:hAnsi="宋体"/>
          <w:sz w:val="24"/>
        </w:rPr>
        <w:t xml:space="preserve"> </w:t>
      </w:r>
      <w:r>
        <w:rPr>
          <w:rFonts w:ascii="宋体" w:hAnsi="宋体"/>
          <w:sz w:val="24"/>
        </w:rPr>
        <w:t> </w:t>
      </w:r>
      <w:r>
        <w:rPr>
          <w:rFonts w:hint="eastAsia" w:ascii="宋体" w:hAnsi="宋体"/>
          <w:sz w:val="24"/>
        </w:rPr>
        <w:t>询价采购程序。列入学校采购办组织的询价采购应按以下规定执行：</w:t>
      </w:r>
    </w:p>
    <w:p>
      <w:pPr>
        <w:adjustRightInd w:val="0"/>
        <w:snapToGrid w:val="0"/>
        <w:spacing w:line="460" w:lineRule="exact"/>
        <w:ind w:firstLine="480" w:firstLineChars="200"/>
        <w:rPr>
          <w:rFonts w:ascii="宋体" w:hAnsi="宋体"/>
          <w:sz w:val="24"/>
        </w:rPr>
      </w:pPr>
      <w:r>
        <w:rPr>
          <w:rFonts w:hint="eastAsia" w:ascii="宋体" w:hAnsi="宋体"/>
          <w:sz w:val="24"/>
        </w:rPr>
        <w:t>（一）成立询价采购小组。询价采购小组由学校采购办、相关部门专家三人及以上组成。</w:t>
      </w:r>
    </w:p>
    <w:p>
      <w:pPr>
        <w:adjustRightInd w:val="0"/>
        <w:snapToGrid w:val="0"/>
        <w:spacing w:line="460" w:lineRule="exact"/>
        <w:ind w:firstLine="480" w:firstLineChars="200"/>
        <w:rPr>
          <w:rFonts w:ascii="宋体" w:hAnsi="宋体"/>
          <w:sz w:val="24"/>
        </w:rPr>
      </w:pPr>
      <w:r>
        <w:rPr>
          <w:rFonts w:hint="eastAsia" w:ascii="宋体" w:hAnsi="宋体"/>
          <w:sz w:val="24"/>
        </w:rPr>
        <w:t>（二）制定询价采购文件。根据实际情况需要由使用部门拟定书面询价采购文件，经归口管理部门对询价采购文件中的项目清单、到货时间、质保年限等信息进行核对与确认后，提交学校采购办审核。</w:t>
      </w:r>
    </w:p>
    <w:p>
      <w:pPr>
        <w:adjustRightInd w:val="0"/>
        <w:snapToGrid w:val="0"/>
        <w:spacing w:line="460" w:lineRule="exact"/>
        <w:ind w:firstLine="480" w:firstLineChars="200"/>
        <w:rPr>
          <w:rFonts w:ascii="宋体" w:hAnsi="宋体"/>
          <w:sz w:val="24"/>
        </w:rPr>
      </w:pPr>
      <w:r>
        <w:rPr>
          <w:rFonts w:hint="eastAsia" w:ascii="宋体" w:hAnsi="宋体"/>
          <w:sz w:val="24"/>
        </w:rPr>
        <w:t>（三）确定被询价的供应商名单。确定不少于三家的供应商，并由学校采购办向其发出询价文件。</w:t>
      </w:r>
    </w:p>
    <w:p>
      <w:pPr>
        <w:adjustRightInd w:val="0"/>
        <w:snapToGrid w:val="0"/>
        <w:spacing w:line="460" w:lineRule="exact"/>
        <w:ind w:firstLine="480" w:firstLineChars="200"/>
        <w:rPr>
          <w:rFonts w:ascii="宋体" w:hAnsi="宋体"/>
          <w:sz w:val="24"/>
        </w:rPr>
      </w:pPr>
      <w:r>
        <w:rPr>
          <w:rFonts w:hint="eastAsia" w:ascii="宋体" w:hAnsi="宋体"/>
          <w:sz w:val="24"/>
        </w:rPr>
        <w:t>（四）询价。供应商根据询价采购文件要求递交报价文件。</w:t>
      </w:r>
    </w:p>
    <w:p>
      <w:pPr>
        <w:adjustRightInd w:val="0"/>
        <w:snapToGrid w:val="0"/>
        <w:spacing w:line="460" w:lineRule="exact"/>
        <w:ind w:firstLine="480" w:firstLineChars="200"/>
        <w:rPr>
          <w:rFonts w:ascii="宋体" w:hAnsi="宋体"/>
          <w:sz w:val="24"/>
        </w:rPr>
      </w:pPr>
      <w:r>
        <w:rPr>
          <w:rFonts w:hint="eastAsia" w:ascii="宋体" w:hAnsi="宋体"/>
          <w:sz w:val="24"/>
        </w:rPr>
        <w:t>（五）确定询价结果。询价小组根据供应商的报价依据“采购需求、质量和服务相等且报价最低”的原则确定成交供应商，询价小组人员在询价结果报告上签字确认，同时做好采购活动记录、填写《衢州学院采购情况记录表》。</w:t>
      </w:r>
    </w:p>
    <w:p>
      <w:pPr>
        <w:adjustRightInd w:val="0"/>
        <w:snapToGrid w:val="0"/>
        <w:spacing w:line="460" w:lineRule="exact"/>
        <w:ind w:firstLine="480" w:firstLineChars="200"/>
        <w:rPr>
          <w:rFonts w:ascii="宋体" w:hAnsi="宋体"/>
          <w:sz w:val="24"/>
        </w:rPr>
      </w:pPr>
      <w:r>
        <w:rPr>
          <w:rFonts w:hint="eastAsia" w:ascii="宋体" w:hAnsi="宋体"/>
          <w:sz w:val="24"/>
        </w:rPr>
        <w:t>（六）成交候选人公示。学校采购办按照谈判结果，对成交候选人在指定媒体上进行公示。</w:t>
      </w:r>
    </w:p>
    <w:p>
      <w:pPr>
        <w:adjustRightInd w:val="0"/>
        <w:snapToGrid w:val="0"/>
        <w:spacing w:line="460" w:lineRule="exact"/>
        <w:ind w:firstLine="480" w:firstLineChars="200"/>
        <w:rPr>
          <w:rFonts w:ascii="宋体" w:hAnsi="宋体"/>
          <w:sz w:val="24"/>
        </w:rPr>
      </w:pPr>
      <w:r>
        <w:rPr>
          <w:rFonts w:hint="eastAsia" w:ascii="宋体" w:hAnsi="宋体"/>
          <w:sz w:val="24"/>
        </w:rPr>
        <w:t>（七）发出成交通知书。公示期结束后，如无异议，学校采购办在七个工作日内向成交人发出成交通知书。</w:t>
      </w:r>
    </w:p>
    <w:p>
      <w:pPr>
        <w:adjustRightInd w:val="0"/>
        <w:snapToGrid w:val="0"/>
        <w:spacing w:line="460" w:lineRule="exact"/>
        <w:ind w:firstLine="482" w:firstLineChars="200"/>
        <w:rPr>
          <w:rFonts w:ascii="宋体" w:hAnsi="宋体"/>
          <w:sz w:val="24"/>
        </w:rPr>
      </w:pPr>
      <w:r>
        <w:rPr>
          <w:rFonts w:hint="eastAsia" w:ascii="宋体" w:hAnsi="宋体"/>
          <w:b/>
          <w:bCs/>
          <w:sz w:val="24"/>
        </w:rPr>
        <w:t>第二十四条</w:t>
      </w:r>
      <w:r>
        <w:rPr>
          <w:rFonts w:hint="eastAsia" w:ascii="宋体" w:hAnsi="宋体"/>
          <w:sz w:val="24"/>
        </w:rPr>
        <w:t xml:space="preserve"> </w:t>
      </w:r>
      <w:r>
        <w:rPr>
          <w:rFonts w:ascii="宋体" w:hAnsi="宋体"/>
          <w:sz w:val="24"/>
        </w:rPr>
        <w:t> </w:t>
      </w:r>
      <w:r>
        <w:rPr>
          <w:rFonts w:hint="eastAsia" w:ascii="宋体" w:hAnsi="宋体"/>
          <w:sz w:val="24"/>
        </w:rPr>
        <w:t>单一来源采购程序。列入学校采购办组织的单一来源采购应按以下规定执行：</w:t>
      </w:r>
    </w:p>
    <w:p>
      <w:pPr>
        <w:adjustRightInd w:val="0"/>
        <w:snapToGrid w:val="0"/>
        <w:spacing w:line="460" w:lineRule="exact"/>
        <w:ind w:firstLine="480" w:firstLineChars="200"/>
        <w:rPr>
          <w:rFonts w:ascii="宋体" w:hAnsi="宋体"/>
          <w:sz w:val="24"/>
        </w:rPr>
      </w:pPr>
      <w:r>
        <w:rPr>
          <w:rFonts w:hint="eastAsia" w:ascii="宋体" w:hAnsi="宋体"/>
          <w:sz w:val="24"/>
        </w:rPr>
        <w:t>（一）成立单一来源采购小组。采购小组由学校采购办、相关部门专家三人及以上组成。</w:t>
      </w:r>
    </w:p>
    <w:p>
      <w:pPr>
        <w:adjustRightInd w:val="0"/>
        <w:snapToGrid w:val="0"/>
        <w:spacing w:line="460" w:lineRule="exact"/>
        <w:ind w:firstLine="480" w:firstLineChars="200"/>
        <w:rPr>
          <w:rFonts w:ascii="宋体" w:hAnsi="宋体"/>
          <w:sz w:val="24"/>
        </w:rPr>
      </w:pPr>
      <w:r>
        <w:rPr>
          <w:rFonts w:hint="eastAsia" w:ascii="宋体" w:hAnsi="宋体"/>
          <w:sz w:val="24"/>
        </w:rPr>
        <w:t>（二）制定单一来源采购文件。根据实际情况需要由使用部门拟定书面单一来源采购文件，经归口管理部门对单一来源采购文件中的项目清单、到货时间、质保年限等信息进行核对与确认后，提交学校采购办审核。</w:t>
      </w:r>
    </w:p>
    <w:p>
      <w:pPr>
        <w:adjustRightInd w:val="0"/>
        <w:snapToGrid w:val="0"/>
        <w:spacing w:line="460" w:lineRule="exact"/>
        <w:ind w:firstLine="480" w:firstLineChars="200"/>
        <w:rPr>
          <w:rFonts w:ascii="宋体" w:hAnsi="宋体"/>
          <w:sz w:val="24"/>
        </w:rPr>
      </w:pPr>
      <w:r>
        <w:rPr>
          <w:rFonts w:hint="eastAsia" w:ascii="宋体" w:hAnsi="宋体"/>
          <w:sz w:val="24"/>
        </w:rPr>
        <w:t>（三）单一来源谈判。采购小组依据采购文件与供应商进行谈判。谈判内容若有实质性变动，应经学校采购办确认后，以书面形式通知参加谈判的供应商。</w:t>
      </w:r>
    </w:p>
    <w:p>
      <w:pPr>
        <w:adjustRightInd w:val="0"/>
        <w:snapToGrid w:val="0"/>
        <w:spacing w:line="460" w:lineRule="exact"/>
        <w:ind w:firstLine="480" w:firstLineChars="200"/>
        <w:rPr>
          <w:rFonts w:ascii="宋体" w:hAnsi="宋体"/>
          <w:sz w:val="24"/>
        </w:rPr>
      </w:pPr>
      <w:r>
        <w:rPr>
          <w:rFonts w:hint="eastAsia" w:ascii="宋体" w:hAnsi="宋体"/>
          <w:sz w:val="24"/>
        </w:rPr>
        <w:t>（四）确定采购结果。采购小组与供应商就最终报价谈判达成一致的，采购小组人员与供应商在谈判结果报告上签字确认，同时做好采购活动记录、填写《衢州学院采购情况记录表》。</w:t>
      </w:r>
    </w:p>
    <w:p>
      <w:pPr>
        <w:adjustRightInd w:val="0"/>
        <w:snapToGrid w:val="0"/>
        <w:spacing w:line="460" w:lineRule="exact"/>
        <w:ind w:firstLine="480" w:firstLineChars="200"/>
        <w:rPr>
          <w:rFonts w:ascii="宋体" w:hAnsi="宋体"/>
          <w:sz w:val="24"/>
        </w:rPr>
      </w:pPr>
      <w:r>
        <w:rPr>
          <w:rFonts w:hint="eastAsia" w:ascii="宋体" w:hAnsi="宋体"/>
          <w:sz w:val="24"/>
        </w:rPr>
        <w:t>（五）成交候选人公示。学校采购办按照谈判结果，对成交候选人在指定媒体上进行公示。</w:t>
      </w:r>
    </w:p>
    <w:p>
      <w:pPr>
        <w:adjustRightInd w:val="0"/>
        <w:snapToGrid w:val="0"/>
        <w:spacing w:line="460" w:lineRule="exact"/>
        <w:ind w:firstLine="480" w:firstLineChars="200"/>
        <w:rPr>
          <w:rFonts w:ascii="宋体" w:hAnsi="宋体"/>
          <w:sz w:val="24"/>
        </w:rPr>
      </w:pPr>
      <w:r>
        <w:rPr>
          <w:rFonts w:hint="eastAsia" w:ascii="宋体" w:hAnsi="宋体"/>
          <w:sz w:val="24"/>
        </w:rPr>
        <w:t>（六）发出成交通知书。公示期结束后，如无异议，学校采购办在七个工作日内向成交人发出成交通知书。</w:t>
      </w:r>
    </w:p>
    <w:p>
      <w:pPr>
        <w:adjustRightInd w:val="0"/>
        <w:snapToGrid w:val="0"/>
        <w:spacing w:line="460" w:lineRule="exact"/>
        <w:ind w:firstLine="482" w:firstLineChars="200"/>
        <w:rPr>
          <w:rFonts w:ascii="宋体" w:hAnsi="宋体"/>
          <w:sz w:val="24"/>
        </w:rPr>
      </w:pPr>
      <w:r>
        <w:rPr>
          <w:rFonts w:hint="eastAsia" w:ascii="宋体" w:hAnsi="宋体"/>
          <w:b/>
          <w:bCs/>
          <w:sz w:val="24"/>
        </w:rPr>
        <w:t>第二十五条</w:t>
      </w:r>
      <w:r>
        <w:rPr>
          <w:rFonts w:hint="eastAsia" w:ascii="宋体" w:hAnsi="宋体"/>
          <w:sz w:val="24"/>
        </w:rPr>
        <w:t xml:space="preserve"> </w:t>
      </w:r>
      <w:r>
        <w:rPr>
          <w:rFonts w:ascii="宋体" w:hAnsi="宋体"/>
          <w:sz w:val="24"/>
        </w:rPr>
        <w:t> </w:t>
      </w:r>
      <w:r>
        <w:rPr>
          <w:rFonts w:hint="eastAsia" w:ascii="宋体" w:hAnsi="宋体"/>
          <w:sz w:val="24"/>
        </w:rPr>
        <w:t>其他非公开招标方式采购程序。依据其采用的采购方式，按实际情况需要参照以上办法执行。</w:t>
      </w:r>
    </w:p>
    <w:p>
      <w:pPr>
        <w:adjustRightInd w:val="0"/>
        <w:snapToGrid w:val="0"/>
        <w:spacing w:line="460" w:lineRule="exact"/>
        <w:ind w:firstLine="482" w:firstLineChars="200"/>
        <w:rPr>
          <w:rFonts w:ascii="宋体" w:hAnsi="宋体"/>
          <w:sz w:val="24"/>
        </w:rPr>
      </w:pPr>
      <w:r>
        <w:rPr>
          <w:rFonts w:hint="eastAsia" w:ascii="宋体" w:hAnsi="宋体"/>
          <w:b/>
          <w:bCs/>
          <w:sz w:val="24"/>
        </w:rPr>
        <w:t>第二十六条</w:t>
      </w:r>
      <w:r>
        <w:rPr>
          <w:rFonts w:hint="eastAsia" w:ascii="宋体" w:hAnsi="宋体"/>
          <w:sz w:val="24"/>
        </w:rPr>
        <w:t xml:space="preserve">  列入部门组织采购的项目，其采购方式以定点采购或询价采购为主，并按以下规定执行：</w:t>
      </w:r>
    </w:p>
    <w:p>
      <w:pPr>
        <w:adjustRightInd w:val="0"/>
        <w:snapToGrid w:val="0"/>
        <w:spacing w:line="460" w:lineRule="exact"/>
        <w:ind w:firstLine="480" w:firstLineChars="200"/>
        <w:rPr>
          <w:rFonts w:ascii="宋体" w:hAnsi="宋体"/>
          <w:sz w:val="24"/>
        </w:rPr>
      </w:pPr>
      <w:r>
        <w:rPr>
          <w:rFonts w:hint="eastAsia" w:ascii="宋体" w:hAnsi="宋体"/>
          <w:sz w:val="24"/>
        </w:rPr>
        <w:t>（一）采购明细内容</w:t>
      </w:r>
    </w:p>
    <w:p>
      <w:pPr>
        <w:adjustRightInd w:val="0"/>
        <w:snapToGrid w:val="0"/>
        <w:spacing w:line="460" w:lineRule="exact"/>
        <w:ind w:firstLine="480" w:firstLineChars="200"/>
        <w:rPr>
          <w:rFonts w:ascii="宋体" w:hAnsi="宋体"/>
          <w:sz w:val="24"/>
        </w:rPr>
      </w:pPr>
      <w:r>
        <w:rPr>
          <w:rFonts w:hint="eastAsia" w:ascii="宋体" w:hAnsi="宋体"/>
          <w:sz w:val="24"/>
        </w:rPr>
        <w:t>1.工程类：建筑物室内外装修（拆除、修缮）</w:t>
      </w:r>
      <w:r>
        <w:rPr>
          <w:rFonts w:ascii="宋体" w:hAnsi="宋体"/>
          <w:sz w:val="24"/>
        </w:rPr>
        <w:t>工程</w:t>
      </w:r>
      <w:r>
        <w:rPr>
          <w:rFonts w:hint="eastAsia" w:ascii="宋体" w:hAnsi="宋体"/>
          <w:sz w:val="24"/>
        </w:rPr>
        <w:t>以及</w:t>
      </w:r>
      <w:r>
        <w:rPr>
          <w:rFonts w:ascii="宋体" w:hAnsi="宋体"/>
          <w:sz w:val="24"/>
        </w:rPr>
        <w:t>公用建筑设施</w:t>
      </w:r>
      <w:r>
        <w:rPr>
          <w:rFonts w:hint="eastAsia" w:ascii="宋体" w:hAnsi="宋体"/>
          <w:sz w:val="24"/>
        </w:rPr>
        <w:t>、消防系统、安防系统、地下管网、水电气、绿化等工程。</w:t>
      </w:r>
    </w:p>
    <w:p>
      <w:pPr>
        <w:adjustRightInd w:val="0"/>
        <w:snapToGrid w:val="0"/>
        <w:spacing w:line="460" w:lineRule="exact"/>
        <w:ind w:firstLine="480" w:firstLineChars="200"/>
        <w:rPr>
          <w:rFonts w:ascii="宋体" w:hAnsi="宋体"/>
          <w:sz w:val="24"/>
        </w:rPr>
      </w:pPr>
      <w:r>
        <w:rPr>
          <w:rFonts w:hint="eastAsia" w:ascii="宋体" w:hAnsi="宋体"/>
          <w:sz w:val="24"/>
        </w:rPr>
        <w:t>2.货物类：仪器设备、家具、电动车、工具车、商业软件、图书资料、低值耐用品（如仪器仪表、工具量具、被服装具、文化体育用品、教学办公用品等）、易耗品（如玻璃制品、元件、零配件、办公电脑耗材等）、不可复原材料（如水电维修耗材、金属或非金属的各种材料、燃料、试剂等）等物品。</w:t>
      </w:r>
    </w:p>
    <w:p>
      <w:pPr>
        <w:adjustRightInd w:val="0"/>
        <w:snapToGrid w:val="0"/>
        <w:spacing w:line="460" w:lineRule="exact"/>
        <w:ind w:firstLine="480" w:firstLineChars="200"/>
        <w:rPr>
          <w:rFonts w:ascii="宋体" w:hAnsi="宋体"/>
          <w:sz w:val="24"/>
        </w:rPr>
      </w:pPr>
      <w:r>
        <w:rPr>
          <w:rFonts w:hint="eastAsia" w:ascii="宋体" w:hAnsi="宋体"/>
          <w:sz w:val="24"/>
        </w:rPr>
        <w:t>3.服务类：中介服务（如审计、评估、咨询、代理、监理、检测、设计等）、印刷、物业管理、会议、培训、租车以及电梯、中央空调等设备和软件运行维护服务等。</w:t>
      </w:r>
    </w:p>
    <w:p>
      <w:pPr>
        <w:adjustRightInd w:val="0"/>
        <w:snapToGrid w:val="0"/>
        <w:spacing w:line="460" w:lineRule="exact"/>
        <w:ind w:firstLine="480" w:firstLineChars="200"/>
        <w:rPr>
          <w:rFonts w:ascii="宋体" w:hAnsi="宋体"/>
          <w:sz w:val="24"/>
        </w:rPr>
      </w:pPr>
      <w:r>
        <w:rPr>
          <w:rFonts w:hint="eastAsia" w:ascii="宋体" w:hAnsi="宋体"/>
          <w:sz w:val="24"/>
        </w:rPr>
        <w:t>（二）采购活动组织</w:t>
      </w:r>
    </w:p>
    <w:p>
      <w:pPr>
        <w:adjustRightInd w:val="0"/>
        <w:snapToGrid w:val="0"/>
        <w:spacing w:line="460" w:lineRule="exact"/>
        <w:ind w:firstLine="480" w:firstLineChars="200"/>
        <w:rPr>
          <w:rFonts w:ascii="宋体" w:hAnsi="宋体"/>
          <w:sz w:val="24"/>
        </w:rPr>
      </w:pPr>
      <w:r>
        <w:rPr>
          <w:rFonts w:hint="eastAsia" w:ascii="宋体" w:hAnsi="宋体"/>
          <w:sz w:val="24"/>
        </w:rPr>
        <w:t>1.成立采购小组：采购小组由部门采购协管员及其相关人员2人及以上组成；</w:t>
      </w:r>
    </w:p>
    <w:p>
      <w:pPr>
        <w:adjustRightInd w:val="0"/>
        <w:snapToGrid w:val="0"/>
        <w:spacing w:line="460" w:lineRule="exact"/>
        <w:ind w:firstLine="480" w:firstLineChars="200"/>
        <w:rPr>
          <w:rFonts w:ascii="宋体" w:hAnsi="宋体"/>
          <w:sz w:val="24"/>
        </w:rPr>
      </w:pPr>
      <w:r>
        <w:rPr>
          <w:rFonts w:hint="eastAsia" w:ascii="宋体" w:hAnsi="宋体"/>
          <w:sz w:val="24"/>
        </w:rPr>
        <w:t>2.确定供应商：在学校定点采购范围以内的采购项目，须在定点供应商中择优采购；不在学校定点采购范围以内的项目，参照第二十三至二十五条相应的采购程序确定供应商。采购金额5千元及以上应做好采购活动记录、填写《衢州学院采购情况记录表》。</w:t>
      </w:r>
    </w:p>
    <w:p>
      <w:pPr>
        <w:adjustRightInd w:val="0"/>
        <w:snapToGrid w:val="0"/>
        <w:spacing w:line="460" w:lineRule="exact"/>
        <w:ind w:firstLine="480" w:firstLineChars="200"/>
        <w:rPr>
          <w:rFonts w:ascii="宋体" w:hAnsi="宋体"/>
          <w:sz w:val="24"/>
        </w:rPr>
      </w:pPr>
      <w:r>
        <w:rPr>
          <w:rFonts w:hint="eastAsia" w:ascii="宋体" w:hAnsi="宋体"/>
          <w:sz w:val="24"/>
        </w:rPr>
        <w:t>（三）采购结果应用</w:t>
      </w:r>
    </w:p>
    <w:p>
      <w:pPr>
        <w:adjustRightInd w:val="0"/>
        <w:snapToGrid w:val="0"/>
        <w:spacing w:line="460" w:lineRule="exact"/>
        <w:ind w:firstLine="480" w:firstLineChars="200"/>
        <w:rPr>
          <w:rFonts w:ascii="宋体" w:hAnsi="宋体"/>
          <w:sz w:val="24"/>
        </w:rPr>
      </w:pPr>
      <w:r>
        <w:rPr>
          <w:rFonts w:hint="eastAsia" w:ascii="宋体" w:hAnsi="宋体"/>
          <w:sz w:val="24"/>
        </w:rPr>
        <w:t>采购金额5千元及以上的项目在采购活动结束后，须填写《衢州学院采购项目备案表》（附件3）随同采购活动记录及相关资料，一并报送学校采购办备案。涉及固定资产类的物品采购，应按照学校其他相关规定履行程序后予以采购，并需办理固定资产入账手续。</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 xml:space="preserve"> 采购合同签订与履行</w:t>
      </w:r>
    </w:p>
    <w:p>
      <w:pPr>
        <w:tabs>
          <w:tab w:val="left" w:pos="992"/>
        </w:tabs>
        <w:adjustRightInd w:val="0"/>
        <w:snapToGrid w:val="0"/>
        <w:spacing w:line="460" w:lineRule="exact"/>
        <w:ind w:firstLine="602" w:firstLineChars="250"/>
        <w:rPr>
          <w:rFonts w:ascii="宋体" w:hAnsi="宋体"/>
          <w:sz w:val="24"/>
        </w:rPr>
      </w:pPr>
      <w:r>
        <w:rPr>
          <w:rFonts w:hint="eastAsia" w:ascii="宋体" w:hAnsi="宋体"/>
          <w:b/>
          <w:bCs/>
          <w:sz w:val="24"/>
        </w:rPr>
        <w:t>第二十七条</w:t>
      </w:r>
      <w:r>
        <w:rPr>
          <w:rFonts w:hint="eastAsia" w:ascii="宋体" w:hAnsi="宋体"/>
          <w:sz w:val="24"/>
        </w:rPr>
        <w:t xml:space="preserve">  采购合同的拟定与审查。列入市采购机构、学校采购办组织的采购项目，依据学校采购文件、成交供应商的响应文件及相关承诺或其提供合同文本，由使用部门负责合同的拟定。</w:t>
      </w:r>
    </w:p>
    <w:p>
      <w:pPr>
        <w:adjustRightInd w:val="0"/>
        <w:snapToGrid w:val="0"/>
        <w:spacing w:line="460" w:lineRule="exact"/>
        <w:ind w:firstLine="480" w:firstLineChars="200"/>
        <w:rPr>
          <w:rFonts w:ascii="宋体" w:hAnsi="宋体"/>
          <w:sz w:val="24"/>
        </w:rPr>
      </w:pPr>
      <w:r>
        <w:rPr>
          <w:rFonts w:hint="eastAsia" w:ascii="宋体" w:hAnsi="宋体"/>
          <w:sz w:val="24"/>
        </w:rPr>
        <w:t>（一）合同金额在50万元以下的一般合同，由使用部门填写《衢州学院采购项目合同审批单》（附件4）及拟定的合同文本，按规定流程报送由相关部门组成的合同审查小组进行审查。</w:t>
      </w:r>
    </w:p>
    <w:p>
      <w:pPr>
        <w:adjustRightInd w:val="0"/>
        <w:snapToGrid w:val="0"/>
        <w:spacing w:line="460" w:lineRule="exact"/>
        <w:ind w:firstLine="480" w:firstLineChars="200"/>
        <w:rPr>
          <w:rFonts w:ascii="宋体" w:hAnsi="宋体"/>
          <w:sz w:val="24"/>
        </w:rPr>
      </w:pPr>
      <w:r>
        <w:rPr>
          <w:rFonts w:hint="eastAsia" w:ascii="宋体" w:hAnsi="宋体"/>
          <w:sz w:val="24"/>
        </w:rPr>
        <w:t>（二）合同金额在50万元及以上的重大合同，应报送财务部门、学校法律顾问和校领导实行会签制度。会签一般按下列办法进行：</w:t>
      </w:r>
    </w:p>
    <w:p>
      <w:pPr>
        <w:adjustRightInd w:val="0"/>
        <w:snapToGrid w:val="0"/>
        <w:spacing w:line="460" w:lineRule="exact"/>
        <w:ind w:firstLine="480" w:firstLineChars="200"/>
        <w:rPr>
          <w:rFonts w:ascii="宋体" w:hAnsi="宋体"/>
          <w:sz w:val="24"/>
        </w:rPr>
      </w:pPr>
      <w:r>
        <w:rPr>
          <w:rFonts w:hint="eastAsia" w:ascii="宋体" w:hAnsi="宋体"/>
          <w:sz w:val="24"/>
        </w:rPr>
        <w:t>1.归口管理部门主要负责审查合同内容、条款和可行性等。</w:t>
      </w:r>
    </w:p>
    <w:p>
      <w:pPr>
        <w:adjustRightInd w:val="0"/>
        <w:snapToGrid w:val="0"/>
        <w:spacing w:line="460" w:lineRule="exact"/>
        <w:ind w:firstLine="480" w:firstLineChars="200"/>
        <w:rPr>
          <w:rFonts w:ascii="宋体" w:hAnsi="宋体"/>
          <w:sz w:val="24"/>
        </w:rPr>
      </w:pPr>
      <w:r>
        <w:rPr>
          <w:rFonts w:hint="eastAsia" w:ascii="宋体" w:hAnsi="宋体"/>
          <w:sz w:val="24"/>
        </w:rPr>
        <w:t>2.财务部门主要审查经费预算、结算、合同金额、付(收)款方式等。</w:t>
      </w:r>
    </w:p>
    <w:p>
      <w:pPr>
        <w:adjustRightInd w:val="0"/>
        <w:snapToGrid w:val="0"/>
        <w:spacing w:line="460" w:lineRule="exact"/>
        <w:ind w:firstLine="480" w:firstLineChars="200"/>
        <w:rPr>
          <w:rFonts w:ascii="宋体" w:hAnsi="宋体"/>
          <w:sz w:val="24"/>
        </w:rPr>
      </w:pPr>
      <w:r>
        <w:rPr>
          <w:rFonts w:hint="eastAsia" w:ascii="宋体" w:hAnsi="宋体"/>
          <w:sz w:val="24"/>
        </w:rPr>
        <w:t>3.学校采购办主要审核合同谈判、签订过程的程序是否符合规定。</w:t>
      </w:r>
    </w:p>
    <w:p>
      <w:pPr>
        <w:adjustRightInd w:val="0"/>
        <w:snapToGrid w:val="0"/>
        <w:spacing w:line="460" w:lineRule="exact"/>
        <w:ind w:firstLine="480" w:firstLineChars="200"/>
        <w:rPr>
          <w:rFonts w:ascii="宋体" w:hAnsi="宋体"/>
          <w:sz w:val="24"/>
        </w:rPr>
      </w:pPr>
      <w:r>
        <w:rPr>
          <w:rFonts w:hint="eastAsia" w:ascii="宋体" w:hAnsi="宋体"/>
          <w:sz w:val="24"/>
        </w:rPr>
        <w:t>4.学校法律顾问主要负责审查合同条款的规范性、完备性及合法合规性等。</w:t>
      </w:r>
    </w:p>
    <w:p>
      <w:pPr>
        <w:adjustRightInd w:val="0"/>
        <w:snapToGrid w:val="0"/>
        <w:spacing w:line="460" w:lineRule="exact"/>
        <w:ind w:firstLine="482" w:firstLineChars="200"/>
        <w:rPr>
          <w:rFonts w:ascii="宋体" w:hAnsi="宋体"/>
          <w:sz w:val="24"/>
        </w:rPr>
      </w:pPr>
      <w:r>
        <w:rPr>
          <w:rFonts w:hint="eastAsia" w:ascii="宋体" w:hAnsi="宋体"/>
          <w:b/>
          <w:bCs/>
          <w:sz w:val="24"/>
        </w:rPr>
        <w:t>第二十八条</w:t>
      </w:r>
      <w:r>
        <w:rPr>
          <w:rFonts w:hint="eastAsia" w:ascii="宋体" w:hAnsi="宋体"/>
          <w:sz w:val="24"/>
        </w:rPr>
        <w:t xml:space="preserve">  采购合同的签订。合同签订由采购项目归口管理部门负责人代表学校与成交供应商进行签订。采购合同签订最长期限原则上不得超过三年。</w:t>
      </w:r>
    </w:p>
    <w:p>
      <w:pPr>
        <w:adjustRightInd w:val="0"/>
        <w:snapToGrid w:val="0"/>
        <w:spacing w:line="460" w:lineRule="exact"/>
        <w:ind w:firstLine="480" w:firstLineChars="200"/>
        <w:rPr>
          <w:rFonts w:ascii="宋体" w:hAnsi="宋体"/>
          <w:sz w:val="24"/>
        </w:rPr>
      </w:pPr>
      <w:r>
        <w:rPr>
          <w:rFonts w:hint="eastAsia" w:ascii="宋体" w:hAnsi="宋体"/>
          <w:sz w:val="24"/>
        </w:rPr>
        <w:t>（一）在中标通知书发出或成交供应商确定之日30天内，成交供应商应按规定的时间、地点办理项目合同签订手续，并在签订项目合同前向学校缴纳履约保证金。</w:t>
      </w:r>
    </w:p>
    <w:p>
      <w:pPr>
        <w:adjustRightInd w:val="0"/>
        <w:snapToGrid w:val="0"/>
        <w:spacing w:line="460" w:lineRule="exact"/>
        <w:ind w:firstLine="480" w:firstLineChars="200"/>
        <w:rPr>
          <w:rFonts w:ascii="宋体" w:hAnsi="宋体"/>
          <w:sz w:val="24"/>
        </w:rPr>
      </w:pPr>
      <w:r>
        <w:rPr>
          <w:rFonts w:hint="eastAsia" w:ascii="宋体" w:hAnsi="宋体"/>
          <w:sz w:val="24"/>
        </w:rPr>
        <w:t>（二）市采购机构、学校采购办组织的采购项目合同由经学校法人代表授权的归口管理部门负责人代表学校签订，合同签订后应加盖“衢州学院合同专用章”，报学校采购办备案。</w:t>
      </w:r>
    </w:p>
    <w:p>
      <w:pPr>
        <w:adjustRightInd w:val="0"/>
        <w:snapToGrid w:val="0"/>
        <w:spacing w:line="460" w:lineRule="exact"/>
        <w:ind w:firstLine="480" w:firstLineChars="200"/>
        <w:rPr>
          <w:rFonts w:ascii="宋体" w:hAnsi="宋体"/>
          <w:sz w:val="24"/>
        </w:rPr>
      </w:pPr>
      <w:r>
        <w:rPr>
          <w:rFonts w:hint="eastAsia" w:ascii="宋体" w:hAnsi="宋体"/>
          <w:sz w:val="24"/>
        </w:rPr>
        <w:t>（三）成交供应商未能及时、足额交纳履约保证金并签订合同的，可视为自动放弃成交权；成交供应商拒绝签订合同的，学校可以按照评审结果推荐的成交候选供应商名单排序，确定下一候选供应商为成交供应商，也可以重新开展采购活动。</w:t>
      </w:r>
    </w:p>
    <w:p>
      <w:pPr>
        <w:adjustRightInd w:val="0"/>
        <w:snapToGrid w:val="0"/>
        <w:spacing w:line="460" w:lineRule="exact"/>
        <w:ind w:firstLine="482" w:firstLineChars="200"/>
        <w:rPr>
          <w:rFonts w:ascii="宋体" w:hAnsi="宋体"/>
          <w:sz w:val="24"/>
        </w:rPr>
      </w:pPr>
      <w:r>
        <w:rPr>
          <w:rFonts w:hint="eastAsia" w:ascii="宋体" w:hAnsi="宋体"/>
          <w:b/>
          <w:bCs/>
          <w:sz w:val="24"/>
        </w:rPr>
        <w:t>第二十九条</w:t>
      </w:r>
      <w:r>
        <w:rPr>
          <w:rFonts w:hint="eastAsia" w:ascii="宋体" w:hAnsi="宋体"/>
          <w:sz w:val="24"/>
        </w:rPr>
        <w:t>  采购合同的履行。履行合同时应注意下列事项：</w:t>
      </w:r>
    </w:p>
    <w:p>
      <w:pPr>
        <w:adjustRightInd w:val="0"/>
        <w:snapToGrid w:val="0"/>
        <w:spacing w:line="460" w:lineRule="exact"/>
        <w:ind w:firstLine="480" w:firstLineChars="200"/>
        <w:rPr>
          <w:rFonts w:ascii="宋体" w:hAnsi="宋体"/>
          <w:sz w:val="24"/>
        </w:rPr>
      </w:pPr>
      <w:r>
        <w:rPr>
          <w:rFonts w:hint="eastAsia" w:ascii="宋体" w:hAnsi="宋体"/>
          <w:sz w:val="24"/>
        </w:rPr>
        <w:t>（一）成交供应商应当按照合同约定履行义务，完成签约的采购项目。成交供应商在合同履行完毕经验收合格后，招标方应全额退还其交纳的履约保证金。未经学校同意，不得向他人转让已签约的项目，也不可将已签约的项目肢解后分别向他人转让。</w:t>
      </w:r>
    </w:p>
    <w:p>
      <w:pPr>
        <w:adjustRightInd w:val="0"/>
        <w:snapToGrid w:val="0"/>
        <w:spacing w:line="460" w:lineRule="exact"/>
        <w:ind w:firstLine="480" w:firstLineChars="200"/>
        <w:rPr>
          <w:rFonts w:ascii="宋体" w:hAnsi="宋体"/>
          <w:sz w:val="24"/>
        </w:rPr>
      </w:pPr>
      <w:r>
        <w:rPr>
          <w:rFonts w:hint="eastAsia" w:ascii="宋体" w:hAnsi="宋体"/>
          <w:sz w:val="24"/>
        </w:rPr>
        <w:t>（二）因法律、法规或政策变化而导致合同规定的采购项目被禁止的，合同签订所属部门可以单方解除合同，但应尽快向对方说明解除合同的理由。</w:t>
      </w:r>
    </w:p>
    <w:p>
      <w:pPr>
        <w:adjustRightInd w:val="0"/>
        <w:snapToGrid w:val="0"/>
        <w:spacing w:line="460" w:lineRule="exact"/>
        <w:ind w:firstLine="480" w:firstLineChars="200"/>
        <w:rPr>
          <w:rFonts w:ascii="宋体" w:hAnsi="宋体"/>
          <w:sz w:val="24"/>
        </w:rPr>
      </w:pPr>
      <w:r>
        <w:rPr>
          <w:rFonts w:hint="eastAsia" w:ascii="宋体" w:hAnsi="宋体"/>
          <w:sz w:val="24"/>
        </w:rPr>
        <w:t>（三）合同变更或解除应当由合同签订所属部门以采用书面形式提出，须经合同审查小组核准，送分管部门校领导或校长审批后执行。经过公证的合同，在双方达成变更或解除协议时，应向原公证机关重新办理公证手续。</w:t>
      </w:r>
    </w:p>
    <w:p>
      <w:pPr>
        <w:adjustRightInd w:val="0"/>
        <w:snapToGrid w:val="0"/>
        <w:spacing w:line="460" w:lineRule="exact"/>
        <w:ind w:firstLine="480" w:firstLineChars="200"/>
        <w:rPr>
          <w:rFonts w:ascii="宋体" w:hAnsi="宋体"/>
          <w:sz w:val="24"/>
        </w:rPr>
      </w:pPr>
      <w:r>
        <w:rPr>
          <w:rFonts w:hint="eastAsia" w:ascii="宋体" w:hAnsi="宋体"/>
          <w:sz w:val="24"/>
        </w:rPr>
        <w:t>（四）在合同履行过程中，因客观原因需要增加预算内容的，归口管理部门或使用部门应事先履行审批手续，其中增加金额原则上不得超过合同金额10%的。50万元以下的一般项目由学校采购办会同归口管理部门或使用部门和财务部门审定，报相关部门的分管校领导审批；50万元及以上的重大项目经学校采购办会同归口管理部门或使用部门和财务部门审定、相关部门的分管校领导审批后，报校长办公会审议。超过项目预算的，应按照学校预算管理办法相关规定，事先办理预算追加手续。</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 xml:space="preserve"> 采购项目验收与付款</w:t>
      </w:r>
    </w:p>
    <w:p>
      <w:pPr>
        <w:adjustRightInd w:val="0"/>
        <w:snapToGrid w:val="0"/>
        <w:spacing w:line="460" w:lineRule="exact"/>
        <w:ind w:firstLine="482" w:firstLineChars="200"/>
        <w:rPr>
          <w:rFonts w:ascii="宋体" w:hAnsi="宋体"/>
          <w:sz w:val="24"/>
        </w:rPr>
      </w:pPr>
      <w:r>
        <w:rPr>
          <w:rFonts w:hint="eastAsia" w:ascii="宋体" w:hAnsi="宋体"/>
          <w:b/>
          <w:bCs/>
          <w:sz w:val="24"/>
        </w:rPr>
        <w:t>第三十条</w:t>
      </w:r>
      <w:r>
        <w:rPr>
          <w:rFonts w:hint="eastAsia" w:ascii="宋体" w:hAnsi="宋体"/>
          <w:sz w:val="24"/>
        </w:rPr>
        <w:t xml:space="preserve">  采购项目应在履约完成后，在归口管理部门的指导下，由使用部门负责组织验收。</w:t>
      </w:r>
    </w:p>
    <w:p>
      <w:pPr>
        <w:adjustRightInd w:val="0"/>
        <w:snapToGrid w:val="0"/>
        <w:spacing w:line="460" w:lineRule="exact"/>
        <w:ind w:firstLine="480" w:firstLineChars="200"/>
        <w:rPr>
          <w:rFonts w:ascii="宋体" w:hAnsi="宋体"/>
          <w:sz w:val="24"/>
        </w:rPr>
      </w:pPr>
      <w:r>
        <w:rPr>
          <w:rFonts w:hint="eastAsia" w:ascii="宋体" w:hAnsi="宋体"/>
          <w:sz w:val="24"/>
        </w:rPr>
        <w:t>（一）部门组织采购的项目，验收小组由部门项目负责人、采购协管员及其相关人员2人及以上组成。采购金额在5千元以上的项目，验收合格后应填写《衢州学院采购项目验收报告单》（附件5）、参与验收人员签字确认，送学校采购办存档；5千元以下的项目，验收合格后由采购协管员或使用部门代表直接在报销票据上签字确认。</w:t>
      </w:r>
    </w:p>
    <w:p>
      <w:pPr>
        <w:adjustRightInd w:val="0"/>
        <w:snapToGrid w:val="0"/>
        <w:spacing w:line="460" w:lineRule="exact"/>
        <w:ind w:firstLine="480" w:firstLineChars="200"/>
        <w:rPr>
          <w:rFonts w:ascii="宋体" w:hAnsi="宋体"/>
          <w:sz w:val="24"/>
        </w:rPr>
      </w:pPr>
      <w:r>
        <w:rPr>
          <w:rFonts w:hint="eastAsia" w:ascii="宋体" w:hAnsi="宋体"/>
          <w:sz w:val="24"/>
        </w:rPr>
        <w:t>（二）市采购机构、学校采购办组织采购的项目，采购金额在5万元以内的项目，验收小组由项目负责人、使用部门及归口管理部门代表3人及以上组成；采购金额在5万元及以上的项目，学校采购办应派代表参与验收活动。验收合格后应填写《衢州学院采购项目验收报告单》、参与验收人员签字确认，送学校采购办存档。</w:t>
      </w:r>
    </w:p>
    <w:p>
      <w:pPr>
        <w:adjustRightInd w:val="0"/>
        <w:snapToGrid w:val="0"/>
        <w:spacing w:line="460" w:lineRule="exact"/>
        <w:ind w:firstLine="482" w:firstLineChars="200"/>
        <w:rPr>
          <w:rFonts w:ascii="宋体" w:hAnsi="宋体"/>
          <w:sz w:val="24"/>
        </w:rPr>
      </w:pPr>
      <w:r>
        <w:rPr>
          <w:rFonts w:hint="eastAsia" w:ascii="宋体" w:hAnsi="宋体"/>
          <w:b/>
          <w:bCs/>
          <w:sz w:val="24"/>
        </w:rPr>
        <w:t>第三十一条</w:t>
      </w:r>
      <w:r>
        <w:rPr>
          <w:rFonts w:hint="eastAsia" w:ascii="宋体" w:hAnsi="宋体"/>
          <w:sz w:val="24"/>
        </w:rPr>
        <w:t xml:space="preserve">  涉及固定资产的采购项目在验收通过后，需按学校规定程序办理固定资产入账手续；结算款项在5千元及以上工程类项目在验收通过后，应提交审计部门进行决算审计。</w:t>
      </w:r>
    </w:p>
    <w:p>
      <w:pPr>
        <w:adjustRightInd w:val="0"/>
        <w:snapToGrid w:val="0"/>
        <w:spacing w:line="460" w:lineRule="exact"/>
        <w:ind w:firstLine="482" w:firstLineChars="200"/>
        <w:rPr>
          <w:rFonts w:ascii="宋体" w:hAnsi="宋体"/>
          <w:sz w:val="24"/>
        </w:rPr>
      </w:pPr>
      <w:r>
        <w:rPr>
          <w:rFonts w:hint="eastAsia" w:ascii="宋体" w:hAnsi="宋体"/>
          <w:b/>
          <w:bCs/>
          <w:sz w:val="24"/>
        </w:rPr>
        <w:t>第三十二条</w:t>
      </w:r>
      <w:r>
        <w:rPr>
          <w:rFonts w:hint="eastAsia" w:ascii="宋体" w:hAnsi="宋体"/>
          <w:sz w:val="24"/>
        </w:rPr>
        <w:t xml:space="preserve">  采购项目应在验收合格后，使用部门凭有效发票、《衢州学院采购项目</w:t>
      </w:r>
      <w:r>
        <w:rPr>
          <w:rFonts w:ascii="宋体" w:hAnsi="宋体"/>
          <w:sz w:val="24"/>
        </w:rPr>
        <w:t>申</w:t>
      </w:r>
      <w:r>
        <w:rPr>
          <w:rFonts w:hint="eastAsia" w:ascii="宋体" w:hAnsi="宋体"/>
          <w:sz w:val="24"/>
        </w:rPr>
        <w:t>报</w:t>
      </w:r>
      <w:r>
        <w:rPr>
          <w:rFonts w:ascii="宋体" w:hAnsi="宋体"/>
          <w:sz w:val="24"/>
        </w:rPr>
        <w:t>表</w:t>
      </w:r>
      <w:r>
        <w:rPr>
          <w:rFonts w:hint="eastAsia" w:ascii="宋体" w:hAnsi="宋体"/>
          <w:sz w:val="24"/>
        </w:rPr>
        <w:t>》、《衢州学院采购项目验收报告单》和采购合同、采购清单、固定资产增值单、决算审计单等相关附件办理结算付款手续。</w:t>
      </w:r>
    </w:p>
    <w:p>
      <w:pPr>
        <w:adjustRightInd w:val="0"/>
        <w:snapToGrid w:val="0"/>
        <w:spacing w:line="460" w:lineRule="exact"/>
        <w:ind w:firstLine="482" w:firstLineChars="200"/>
        <w:rPr>
          <w:rFonts w:ascii="宋体" w:hAnsi="宋体"/>
          <w:sz w:val="24"/>
        </w:rPr>
      </w:pPr>
      <w:r>
        <w:rPr>
          <w:rFonts w:hint="eastAsia" w:ascii="宋体" w:hAnsi="宋体"/>
          <w:b/>
          <w:bCs/>
          <w:sz w:val="24"/>
        </w:rPr>
        <w:t>第三十三条</w:t>
      </w:r>
      <w:r>
        <w:rPr>
          <w:rFonts w:hint="eastAsia" w:ascii="宋体" w:hAnsi="宋体"/>
          <w:sz w:val="24"/>
        </w:rPr>
        <w:t xml:space="preserve">  对具有下列情形之一的业务，财务部门有权拒绝付款：</w:t>
      </w:r>
    </w:p>
    <w:p>
      <w:pPr>
        <w:adjustRightInd w:val="0"/>
        <w:snapToGrid w:val="0"/>
        <w:spacing w:line="460" w:lineRule="exact"/>
        <w:ind w:firstLine="480" w:firstLineChars="200"/>
        <w:rPr>
          <w:rFonts w:ascii="宋体" w:hAnsi="宋体"/>
          <w:sz w:val="24"/>
        </w:rPr>
      </w:pPr>
      <w:r>
        <w:rPr>
          <w:rFonts w:hint="eastAsia" w:ascii="宋体" w:hAnsi="宋体"/>
          <w:sz w:val="24"/>
        </w:rPr>
        <w:t>（一）未按合同规定的付款方式、比例进行付款或发票、合同签批手续不完备的。</w:t>
      </w:r>
    </w:p>
    <w:p>
      <w:pPr>
        <w:adjustRightInd w:val="0"/>
        <w:snapToGrid w:val="0"/>
        <w:spacing w:line="460" w:lineRule="exact"/>
        <w:ind w:firstLine="480" w:firstLineChars="200"/>
        <w:rPr>
          <w:rFonts w:ascii="宋体" w:hAnsi="宋体"/>
          <w:sz w:val="24"/>
        </w:rPr>
      </w:pPr>
      <w:r>
        <w:rPr>
          <w:rFonts w:hint="eastAsia" w:ascii="宋体" w:hAnsi="宋体"/>
          <w:sz w:val="24"/>
        </w:rPr>
        <w:t>（二）收款单位与合同对方当事人名称或合同账户不一致的。</w:t>
      </w:r>
    </w:p>
    <w:p>
      <w:pPr>
        <w:adjustRightInd w:val="0"/>
        <w:snapToGrid w:val="0"/>
        <w:spacing w:line="460" w:lineRule="exact"/>
        <w:ind w:firstLine="480" w:firstLineChars="200"/>
        <w:rPr>
          <w:rFonts w:ascii="宋体" w:hAnsi="宋体"/>
          <w:sz w:val="24"/>
        </w:rPr>
      </w:pPr>
      <w:r>
        <w:rPr>
          <w:rFonts w:hint="eastAsia" w:ascii="宋体" w:hAnsi="宋体"/>
          <w:sz w:val="24"/>
        </w:rPr>
        <w:t>（三）应提交而未提交审计部门进行决算审计或付款额度与审计结果不一致的。</w:t>
      </w:r>
    </w:p>
    <w:p>
      <w:pPr>
        <w:adjustRightInd w:val="0"/>
        <w:snapToGrid w:val="0"/>
        <w:spacing w:line="460" w:lineRule="exact"/>
        <w:ind w:firstLine="480" w:firstLineChars="200"/>
        <w:rPr>
          <w:rFonts w:ascii="宋体" w:hAnsi="宋体"/>
          <w:sz w:val="24"/>
        </w:rPr>
      </w:pPr>
      <w:r>
        <w:rPr>
          <w:rFonts w:hint="eastAsia" w:ascii="宋体" w:hAnsi="宋体"/>
          <w:sz w:val="24"/>
        </w:rPr>
        <w:t>（四）未能按财务规定提供相关付款凭证附件的。</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 xml:space="preserve"> 采购纪律与监督</w:t>
      </w:r>
    </w:p>
    <w:p>
      <w:pPr>
        <w:adjustRightInd w:val="0"/>
        <w:snapToGrid w:val="0"/>
        <w:spacing w:line="460" w:lineRule="exact"/>
        <w:ind w:firstLine="482" w:firstLineChars="200"/>
        <w:rPr>
          <w:rFonts w:ascii="宋体" w:hAnsi="宋体"/>
          <w:sz w:val="24"/>
        </w:rPr>
      </w:pPr>
      <w:r>
        <w:rPr>
          <w:rFonts w:hint="eastAsia" w:ascii="宋体" w:hAnsi="宋体"/>
          <w:b/>
          <w:bCs/>
          <w:sz w:val="24"/>
        </w:rPr>
        <w:t>第三十四条</w:t>
      </w:r>
      <w:r>
        <w:rPr>
          <w:rFonts w:hint="eastAsia" w:ascii="宋体" w:hAnsi="宋体"/>
          <w:sz w:val="24"/>
        </w:rPr>
        <w:t xml:space="preserve">  学校采购活动必须遵守以下工作纪律：</w:t>
      </w:r>
    </w:p>
    <w:p>
      <w:pPr>
        <w:adjustRightInd w:val="0"/>
        <w:snapToGrid w:val="0"/>
        <w:spacing w:line="460" w:lineRule="exact"/>
        <w:ind w:firstLine="480" w:firstLineChars="200"/>
        <w:rPr>
          <w:rFonts w:ascii="宋体" w:hAnsi="宋体"/>
          <w:sz w:val="24"/>
        </w:rPr>
      </w:pPr>
      <w:r>
        <w:rPr>
          <w:rFonts w:hint="eastAsia" w:ascii="宋体" w:hAnsi="宋体"/>
          <w:sz w:val="24"/>
        </w:rPr>
        <w:t>（一）各级领导干部不得以行政权力干预采购与招标公正；</w:t>
      </w:r>
    </w:p>
    <w:p>
      <w:pPr>
        <w:adjustRightInd w:val="0"/>
        <w:snapToGrid w:val="0"/>
        <w:spacing w:line="460" w:lineRule="exact"/>
        <w:ind w:firstLine="480" w:firstLineChars="200"/>
        <w:rPr>
          <w:rFonts w:ascii="宋体" w:hAnsi="宋体"/>
          <w:sz w:val="24"/>
        </w:rPr>
      </w:pPr>
      <w:r>
        <w:rPr>
          <w:rFonts w:hint="eastAsia" w:ascii="宋体" w:hAnsi="宋体"/>
          <w:sz w:val="24"/>
        </w:rPr>
        <w:t>（二）在采购与招标工作中，参与采购的相关人员，必须持公正态度，按章办事，不得以权谋私、违法乱纪、搞不正之风；</w:t>
      </w:r>
    </w:p>
    <w:p>
      <w:pPr>
        <w:adjustRightInd w:val="0"/>
        <w:snapToGrid w:val="0"/>
        <w:spacing w:line="460" w:lineRule="exact"/>
        <w:ind w:firstLine="480" w:firstLineChars="200"/>
        <w:rPr>
          <w:rFonts w:ascii="宋体" w:hAnsi="宋体"/>
          <w:sz w:val="24"/>
        </w:rPr>
      </w:pPr>
      <w:r>
        <w:rPr>
          <w:rFonts w:hint="eastAsia" w:ascii="宋体" w:hAnsi="宋体"/>
          <w:sz w:val="24"/>
        </w:rPr>
        <w:t>（三）在采购与招标工作中，参与采购的相关人员与投标供应商有利害关系的，必须回避；投标供应商认为参与采购的相关人员与其他投标供应商有利害关系的，可以向采购组织者申请回避；</w:t>
      </w:r>
    </w:p>
    <w:p>
      <w:pPr>
        <w:adjustRightInd w:val="0"/>
        <w:snapToGrid w:val="0"/>
        <w:spacing w:line="460" w:lineRule="exact"/>
        <w:ind w:firstLine="480" w:firstLineChars="200"/>
        <w:rPr>
          <w:rFonts w:ascii="宋体" w:hAnsi="宋体"/>
          <w:sz w:val="24"/>
        </w:rPr>
      </w:pPr>
      <w:r>
        <w:rPr>
          <w:rFonts w:hint="eastAsia" w:ascii="宋体" w:hAnsi="宋体"/>
          <w:sz w:val="24"/>
        </w:rPr>
        <w:t>（四）评审专家应严格遵守有关规定进行评审，对违规违纪情况，依照有关规定进行处理。</w:t>
      </w:r>
    </w:p>
    <w:p>
      <w:pPr>
        <w:adjustRightInd w:val="0"/>
        <w:snapToGrid w:val="0"/>
        <w:spacing w:line="460" w:lineRule="exact"/>
        <w:ind w:firstLine="482" w:firstLineChars="200"/>
        <w:rPr>
          <w:rFonts w:ascii="宋体" w:hAnsi="宋体"/>
          <w:sz w:val="24"/>
        </w:rPr>
      </w:pPr>
      <w:r>
        <w:rPr>
          <w:rFonts w:hint="eastAsia" w:ascii="宋体" w:hAnsi="宋体"/>
          <w:b/>
          <w:bCs/>
          <w:sz w:val="24"/>
        </w:rPr>
        <w:t>第三十五条</w:t>
      </w:r>
      <w:r>
        <w:rPr>
          <w:rFonts w:hint="eastAsia" w:ascii="宋体" w:hAnsi="宋体"/>
          <w:sz w:val="24"/>
        </w:rPr>
        <w:t xml:space="preserve">  学校有关部门或其经办人员出现下列问题时，纪检监察部门有权要求其予以澄清或说明，并视情节轻重进行处理：</w:t>
      </w:r>
    </w:p>
    <w:p>
      <w:pPr>
        <w:adjustRightInd w:val="0"/>
        <w:snapToGrid w:val="0"/>
        <w:spacing w:line="460" w:lineRule="exact"/>
        <w:ind w:firstLine="480" w:firstLineChars="200"/>
        <w:rPr>
          <w:rFonts w:ascii="宋体" w:hAnsi="宋体"/>
          <w:sz w:val="24"/>
        </w:rPr>
      </w:pPr>
      <w:r>
        <w:rPr>
          <w:rFonts w:hint="eastAsia" w:ascii="宋体" w:hAnsi="宋体"/>
          <w:sz w:val="24"/>
        </w:rPr>
        <w:t>（一）未按规定审批，擅自采购的；</w:t>
      </w:r>
    </w:p>
    <w:p>
      <w:pPr>
        <w:adjustRightInd w:val="0"/>
        <w:snapToGrid w:val="0"/>
        <w:spacing w:line="460" w:lineRule="exact"/>
        <w:ind w:firstLine="480" w:firstLineChars="200"/>
        <w:rPr>
          <w:rFonts w:ascii="宋体" w:hAnsi="宋体"/>
          <w:sz w:val="24"/>
        </w:rPr>
      </w:pPr>
      <w:r>
        <w:rPr>
          <w:rFonts w:hint="eastAsia" w:ascii="宋体" w:hAnsi="宋体"/>
          <w:sz w:val="24"/>
        </w:rPr>
        <w:t>（二）擅自更改采购标项内容、数量或技术参数的；</w:t>
      </w:r>
    </w:p>
    <w:p>
      <w:pPr>
        <w:adjustRightInd w:val="0"/>
        <w:snapToGrid w:val="0"/>
        <w:spacing w:line="460" w:lineRule="exact"/>
        <w:ind w:firstLine="480" w:firstLineChars="200"/>
        <w:rPr>
          <w:rFonts w:ascii="宋体" w:hAnsi="宋体"/>
          <w:sz w:val="24"/>
        </w:rPr>
      </w:pPr>
      <w:r>
        <w:rPr>
          <w:rFonts w:hint="eastAsia" w:ascii="宋体" w:hAnsi="宋体"/>
          <w:sz w:val="24"/>
        </w:rPr>
        <w:t>（三）故意将采购项目化整为零，规避学校统一组织采购的；</w:t>
      </w:r>
    </w:p>
    <w:p>
      <w:pPr>
        <w:adjustRightInd w:val="0"/>
        <w:snapToGrid w:val="0"/>
        <w:spacing w:line="460" w:lineRule="exact"/>
        <w:ind w:firstLine="480" w:firstLineChars="200"/>
        <w:rPr>
          <w:rFonts w:ascii="宋体" w:hAnsi="宋体"/>
          <w:sz w:val="24"/>
        </w:rPr>
      </w:pPr>
      <w:r>
        <w:rPr>
          <w:rFonts w:hint="eastAsia" w:ascii="宋体" w:hAnsi="宋体"/>
          <w:sz w:val="24"/>
        </w:rPr>
        <w:t xml:space="preserve">（四）采购工作不按学校有关规定和程序操作的； </w:t>
      </w:r>
    </w:p>
    <w:p>
      <w:pPr>
        <w:adjustRightInd w:val="0"/>
        <w:snapToGrid w:val="0"/>
        <w:spacing w:line="460" w:lineRule="exact"/>
        <w:ind w:firstLine="480" w:firstLineChars="200"/>
        <w:rPr>
          <w:rFonts w:ascii="宋体" w:hAnsi="宋体"/>
          <w:sz w:val="24"/>
        </w:rPr>
      </w:pPr>
      <w:r>
        <w:rPr>
          <w:rFonts w:hint="eastAsia" w:ascii="宋体" w:hAnsi="宋体"/>
          <w:sz w:val="24"/>
        </w:rPr>
        <w:t>（五）其他违纪违规的行为。</w:t>
      </w:r>
    </w:p>
    <w:p>
      <w:pPr>
        <w:adjustRightInd w:val="0"/>
        <w:snapToGrid w:val="0"/>
        <w:spacing w:line="460" w:lineRule="exact"/>
        <w:ind w:firstLine="482" w:firstLineChars="200"/>
        <w:rPr>
          <w:rFonts w:ascii="宋体" w:hAnsi="宋体"/>
          <w:sz w:val="24"/>
        </w:rPr>
      </w:pPr>
      <w:r>
        <w:rPr>
          <w:rFonts w:hint="eastAsia" w:ascii="宋体" w:hAnsi="宋体"/>
          <w:b/>
          <w:bCs/>
          <w:sz w:val="24"/>
        </w:rPr>
        <w:t>第三十六条</w:t>
      </w:r>
      <w:r>
        <w:rPr>
          <w:rFonts w:hint="eastAsia" w:ascii="宋体" w:hAnsi="宋体"/>
          <w:sz w:val="24"/>
        </w:rPr>
        <w:t xml:space="preserve">  投标商或供应商有下列情形之一的，成交或合同无效，列入不良行为记录名单，两年内禁止参加学校采购活动。给学校公共利益造成损害的，应当承担赔偿责任且学校有权不予退还其相应保证金。</w:t>
      </w:r>
    </w:p>
    <w:p>
      <w:pPr>
        <w:adjustRightInd w:val="0"/>
        <w:snapToGrid w:val="0"/>
        <w:spacing w:line="460" w:lineRule="exact"/>
        <w:ind w:firstLine="480" w:firstLineChars="200"/>
        <w:rPr>
          <w:rFonts w:ascii="宋体" w:hAnsi="宋体"/>
          <w:sz w:val="24"/>
        </w:rPr>
      </w:pPr>
      <w:r>
        <w:rPr>
          <w:rFonts w:hint="eastAsia" w:ascii="宋体" w:hAnsi="宋体"/>
          <w:sz w:val="24"/>
        </w:rPr>
        <w:t>（一）提供虚假材料骗取学校采购成交人资格的；</w:t>
      </w:r>
    </w:p>
    <w:p>
      <w:pPr>
        <w:adjustRightInd w:val="0"/>
        <w:snapToGrid w:val="0"/>
        <w:spacing w:line="460" w:lineRule="exact"/>
        <w:ind w:firstLine="480" w:firstLineChars="200"/>
        <w:rPr>
          <w:rFonts w:ascii="宋体" w:hAnsi="宋体"/>
          <w:sz w:val="24"/>
        </w:rPr>
      </w:pPr>
      <w:r>
        <w:rPr>
          <w:rFonts w:hint="eastAsia" w:ascii="宋体" w:hAnsi="宋体"/>
          <w:sz w:val="24"/>
        </w:rPr>
        <w:t>（二）采用不正当手段诋毁、排挤其他响应人的；</w:t>
      </w:r>
    </w:p>
    <w:p>
      <w:pPr>
        <w:adjustRightInd w:val="0"/>
        <w:snapToGrid w:val="0"/>
        <w:spacing w:line="460" w:lineRule="exact"/>
        <w:ind w:firstLine="480" w:firstLineChars="200"/>
        <w:rPr>
          <w:rFonts w:ascii="宋体" w:hAnsi="宋体"/>
          <w:sz w:val="24"/>
        </w:rPr>
      </w:pPr>
      <w:r>
        <w:rPr>
          <w:rFonts w:hint="eastAsia" w:ascii="宋体" w:hAnsi="宋体"/>
          <w:sz w:val="24"/>
        </w:rPr>
        <w:t>（三）与学校采购当事人员违规串通的；</w:t>
      </w:r>
    </w:p>
    <w:p>
      <w:pPr>
        <w:adjustRightInd w:val="0"/>
        <w:snapToGrid w:val="0"/>
        <w:spacing w:line="460" w:lineRule="exact"/>
        <w:ind w:firstLine="480" w:firstLineChars="200"/>
        <w:rPr>
          <w:rFonts w:ascii="宋体" w:hAnsi="宋体"/>
          <w:sz w:val="24"/>
        </w:rPr>
      </w:pPr>
      <w:r>
        <w:rPr>
          <w:rFonts w:hint="eastAsia" w:ascii="宋体" w:hAnsi="宋体"/>
          <w:sz w:val="24"/>
        </w:rPr>
        <w:t>（四）成交后在规定期限内无正当理由不与学校签订合同的；</w:t>
      </w:r>
    </w:p>
    <w:p>
      <w:pPr>
        <w:adjustRightInd w:val="0"/>
        <w:snapToGrid w:val="0"/>
        <w:spacing w:line="460" w:lineRule="exact"/>
        <w:ind w:firstLine="480" w:firstLineChars="200"/>
        <w:rPr>
          <w:rFonts w:ascii="宋体" w:hAnsi="宋体"/>
          <w:sz w:val="24"/>
        </w:rPr>
      </w:pPr>
      <w:r>
        <w:rPr>
          <w:rFonts w:hint="eastAsia" w:ascii="宋体" w:hAnsi="宋体"/>
          <w:sz w:val="24"/>
        </w:rPr>
        <w:t>（五）向学校采购当事单位和个人行贿或提供不正当利益的；</w:t>
      </w:r>
    </w:p>
    <w:p>
      <w:pPr>
        <w:adjustRightInd w:val="0"/>
        <w:snapToGrid w:val="0"/>
        <w:spacing w:line="460" w:lineRule="exact"/>
        <w:ind w:firstLine="480" w:firstLineChars="200"/>
        <w:rPr>
          <w:rFonts w:ascii="宋体" w:hAnsi="宋体"/>
          <w:sz w:val="24"/>
        </w:rPr>
      </w:pPr>
      <w:r>
        <w:rPr>
          <w:rFonts w:hint="eastAsia" w:ascii="宋体" w:hAnsi="宋体"/>
          <w:sz w:val="24"/>
        </w:rPr>
        <w:t>（六）擅自变更或终止合同的；</w:t>
      </w:r>
    </w:p>
    <w:p>
      <w:pPr>
        <w:adjustRightInd w:val="0"/>
        <w:snapToGrid w:val="0"/>
        <w:spacing w:line="460" w:lineRule="exact"/>
        <w:ind w:firstLine="480" w:firstLineChars="200"/>
        <w:rPr>
          <w:rFonts w:ascii="宋体" w:hAnsi="宋体"/>
          <w:sz w:val="24"/>
        </w:rPr>
      </w:pPr>
      <w:r>
        <w:rPr>
          <w:rFonts w:hint="eastAsia" w:ascii="宋体" w:hAnsi="宋体"/>
          <w:sz w:val="24"/>
        </w:rPr>
        <w:t>（七）其他违反学校采购管理规定的行为。</w:t>
      </w:r>
    </w:p>
    <w:p>
      <w:pPr>
        <w:adjustRightInd w:val="0"/>
        <w:snapToGrid w:val="0"/>
        <w:spacing w:line="460" w:lineRule="exact"/>
        <w:ind w:firstLine="482" w:firstLineChars="200"/>
        <w:rPr>
          <w:rFonts w:ascii="宋体" w:hAnsi="宋体"/>
          <w:sz w:val="24"/>
        </w:rPr>
      </w:pPr>
      <w:r>
        <w:rPr>
          <w:rFonts w:hint="eastAsia" w:ascii="宋体" w:hAnsi="宋体"/>
          <w:b/>
          <w:bCs/>
          <w:sz w:val="24"/>
        </w:rPr>
        <w:t>第三十七条</w:t>
      </w:r>
      <w:r>
        <w:rPr>
          <w:rFonts w:hint="eastAsia" w:ascii="宋体" w:hAnsi="宋体"/>
          <w:sz w:val="24"/>
        </w:rPr>
        <w:t xml:space="preserve">  对学校组织的采购项目，投标商或供应商认为自己的合法权益受到损害的，可在中标或成交候选人公示期限内并附相关材料提出质疑和投诉。涉及违规违纪方面的质疑和投诉，其受理部门为学校纪检监察部门，其他方面质疑和投诉受理归属学校采购办。超过公示期限或材料不规范齐全的质疑和投诉学校可不予受理。</w:t>
      </w:r>
    </w:p>
    <w:p>
      <w:pPr>
        <w:adjustRightInd w:val="0"/>
        <w:snapToGrid w:val="0"/>
        <w:spacing w:line="460" w:lineRule="exact"/>
        <w:ind w:firstLine="482" w:firstLineChars="200"/>
        <w:rPr>
          <w:rFonts w:ascii="宋体" w:hAnsi="宋体"/>
          <w:sz w:val="24"/>
        </w:rPr>
      </w:pPr>
      <w:r>
        <w:rPr>
          <w:rFonts w:hint="eastAsia" w:ascii="宋体" w:hAnsi="宋体"/>
          <w:b/>
          <w:bCs/>
          <w:sz w:val="24"/>
        </w:rPr>
        <w:t>第三十八条</w:t>
      </w:r>
      <w:r>
        <w:rPr>
          <w:rFonts w:hint="eastAsia" w:ascii="宋体" w:hAnsi="宋体"/>
          <w:sz w:val="24"/>
        </w:rPr>
        <w:t xml:space="preserve">  在采购工作中出现违纪违规行为的，学校有权进行责任追究。</w:t>
      </w:r>
    </w:p>
    <w:p>
      <w:pPr>
        <w:numPr>
          <w:ilvl w:val="0"/>
          <w:numId w:val="12"/>
        </w:numPr>
        <w:adjustRightInd w:val="0"/>
        <w:snapToGrid w:val="0"/>
        <w:spacing w:line="4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 xml:space="preserve"> 附则</w:t>
      </w:r>
    </w:p>
    <w:p>
      <w:pPr>
        <w:adjustRightInd w:val="0"/>
        <w:snapToGrid w:val="0"/>
        <w:spacing w:line="460" w:lineRule="exact"/>
        <w:ind w:firstLine="482" w:firstLineChars="200"/>
        <w:rPr>
          <w:rFonts w:ascii="宋体" w:hAnsi="宋体"/>
          <w:sz w:val="24"/>
        </w:rPr>
      </w:pPr>
      <w:r>
        <w:rPr>
          <w:rFonts w:hint="eastAsia" w:ascii="宋体" w:hAnsi="宋体"/>
          <w:b/>
          <w:bCs/>
          <w:sz w:val="24"/>
        </w:rPr>
        <w:t>第三十九条</w:t>
      </w:r>
      <w:r>
        <w:rPr>
          <w:rFonts w:hint="eastAsia" w:ascii="宋体" w:hAnsi="宋体"/>
          <w:sz w:val="24"/>
        </w:rPr>
        <w:t xml:space="preserve">  国家、省、市相关招标采购法律法规有明确规定的，从其规定执行。</w:t>
      </w:r>
    </w:p>
    <w:p>
      <w:pPr>
        <w:adjustRightInd w:val="0"/>
        <w:snapToGrid w:val="0"/>
        <w:spacing w:line="460" w:lineRule="exact"/>
        <w:ind w:firstLine="482" w:firstLineChars="200"/>
        <w:rPr>
          <w:rFonts w:ascii="宋体" w:hAnsi="宋体"/>
          <w:sz w:val="24"/>
        </w:rPr>
      </w:pPr>
      <w:r>
        <w:rPr>
          <w:rFonts w:hint="eastAsia" w:ascii="宋体" w:hAnsi="宋体"/>
          <w:b/>
          <w:bCs/>
          <w:sz w:val="24"/>
        </w:rPr>
        <w:t>第四十条</w:t>
      </w:r>
      <w:r>
        <w:rPr>
          <w:rFonts w:hint="eastAsia" w:ascii="宋体" w:hAnsi="宋体"/>
          <w:sz w:val="24"/>
        </w:rPr>
        <w:t xml:space="preserve">  本办法自发布之日起执行，原《衢州学院招投标管理办法》（衢院设〔</w:t>
      </w:r>
      <w:r>
        <w:rPr>
          <w:rFonts w:ascii="宋体" w:hAnsi="宋体"/>
          <w:sz w:val="24"/>
        </w:rPr>
        <w:t>20</w:t>
      </w:r>
      <w:r>
        <w:rPr>
          <w:rFonts w:hint="eastAsia" w:ascii="宋体" w:hAnsi="宋体"/>
          <w:sz w:val="24"/>
        </w:rPr>
        <w:t>13</w:t>
      </w:r>
      <w:r>
        <w:rPr>
          <w:rFonts w:ascii="宋体" w:hAnsi="宋体"/>
          <w:sz w:val="24"/>
        </w:rPr>
        <w:t>〕</w:t>
      </w:r>
      <w:r>
        <w:rPr>
          <w:rFonts w:hint="eastAsia" w:ascii="宋体" w:hAnsi="宋体"/>
          <w:sz w:val="24"/>
        </w:rPr>
        <w:t>1</w:t>
      </w:r>
      <w:r>
        <w:rPr>
          <w:rFonts w:ascii="宋体" w:hAnsi="宋体"/>
          <w:sz w:val="24"/>
        </w:rPr>
        <w:t>号</w:t>
      </w:r>
      <w:r>
        <w:rPr>
          <w:rFonts w:hint="eastAsia" w:ascii="宋体" w:hAnsi="宋体"/>
          <w:sz w:val="24"/>
        </w:rPr>
        <w:t>）《衢州学院关于印发零星物品采购管理办法的通知》（衢院设[2013]2号）及其相关规定同时废止。</w:t>
      </w:r>
    </w:p>
    <w:p>
      <w:pPr>
        <w:adjustRightInd w:val="0"/>
        <w:snapToGrid w:val="0"/>
        <w:spacing w:line="460" w:lineRule="exact"/>
        <w:ind w:firstLine="482" w:firstLineChars="200"/>
        <w:rPr>
          <w:rFonts w:ascii="宋体" w:hAnsi="宋体"/>
          <w:sz w:val="24"/>
        </w:rPr>
      </w:pPr>
      <w:r>
        <w:rPr>
          <w:rFonts w:hint="eastAsia" w:ascii="宋体" w:hAnsi="宋体"/>
          <w:b/>
          <w:bCs/>
          <w:sz w:val="24"/>
        </w:rPr>
        <w:t>第四十一条</w:t>
      </w:r>
      <w:r>
        <w:rPr>
          <w:rFonts w:hint="eastAsia" w:ascii="宋体" w:hAnsi="宋体"/>
          <w:sz w:val="24"/>
        </w:rPr>
        <w:t xml:space="preserve"> 本办法由学校采购办公室负责解释。</w:t>
      </w:r>
    </w:p>
    <w:p>
      <w:pPr>
        <w:adjustRightInd w:val="0"/>
        <w:snapToGrid w:val="0"/>
        <w:spacing w:line="460" w:lineRule="exact"/>
        <w:rPr>
          <w:rFonts w:ascii="宋体" w:hAnsi="宋体"/>
          <w:sz w:val="24"/>
        </w:rPr>
      </w:pPr>
      <w:r>
        <w:rPr>
          <w:rFonts w:hint="eastAsia" w:ascii="宋体" w:hAnsi="宋体"/>
          <w:sz w:val="24"/>
        </w:rPr>
        <w:t>附件：</w:t>
      </w:r>
    </w:p>
    <w:p>
      <w:pPr>
        <w:adjustRightInd w:val="0"/>
        <w:snapToGrid w:val="0"/>
        <w:spacing w:line="460" w:lineRule="exact"/>
        <w:ind w:firstLine="480" w:firstLineChars="200"/>
        <w:rPr>
          <w:rFonts w:ascii="宋体" w:hAnsi="宋体"/>
          <w:sz w:val="24"/>
        </w:rPr>
      </w:pPr>
      <w:r>
        <w:rPr>
          <w:rFonts w:hint="eastAsia" w:ascii="宋体" w:hAnsi="宋体"/>
          <w:sz w:val="24"/>
        </w:rPr>
        <w:t>1.衢州学院采购项目</w:t>
      </w:r>
      <w:r>
        <w:rPr>
          <w:rFonts w:ascii="宋体" w:hAnsi="宋体"/>
          <w:sz w:val="24"/>
        </w:rPr>
        <w:t>申</w:t>
      </w:r>
      <w:r>
        <w:rPr>
          <w:rFonts w:hint="eastAsia" w:ascii="宋体" w:hAnsi="宋体"/>
          <w:sz w:val="24"/>
        </w:rPr>
        <w:t>报</w:t>
      </w:r>
      <w:r>
        <w:rPr>
          <w:rFonts w:ascii="宋体" w:hAnsi="宋体"/>
          <w:sz w:val="24"/>
        </w:rPr>
        <w:t>表</w:t>
      </w:r>
    </w:p>
    <w:p>
      <w:pPr>
        <w:adjustRightInd w:val="0"/>
        <w:snapToGrid w:val="0"/>
        <w:spacing w:line="460" w:lineRule="exact"/>
        <w:ind w:firstLine="480" w:firstLineChars="200"/>
        <w:rPr>
          <w:rFonts w:ascii="宋体" w:hAnsi="宋体"/>
          <w:sz w:val="24"/>
        </w:rPr>
      </w:pPr>
      <w:r>
        <w:rPr>
          <w:rFonts w:hint="eastAsia" w:ascii="宋体" w:hAnsi="宋体"/>
          <w:sz w:val="24"/>
        </w:rPr>
        <w:t>2.衢州学院采购情况记录表</w:t>
      </w:r>
    </w:p>
    <w:p>
      <w:pPr>
        <w:adjustRightInd w:val="0"/>
        <w:snapToGrid w:val="0"/>
        <w:spacing w:line="460" w:lineRule="exact"/>
        <w:ind w:firstLine="480" w:firstLineChars="200"/>
        <w:rPr>
          <w:rFonts w:ascii="宋体" w:hAnsi="宋体"/>
          <w:sz w:val="24"/>
        </w:rPr>
      </w:pPr>
      <w:r>
        <w:rPr>
          <w:rFonts w:hint="eastAsia" w:ascii="宋体" w:hAnsi="宋体"/>
          <w:sz w:val="24"/>
        </w:rPr>
        <w:t>3.衢州学院采购项目备案表</w:t>
      </w:r>
    </w:p>
    <w:p>
      <w:pPr>
        <w:adjustRightInd w:val="0"/>
        <w:snapToGrid w:val="0"/>
        <w:spacing w:line="460" w:lineRule="exact"/>
        <w:ind w:firstLine="480" w:firstLineChars="200"/>
        <w:rPr>
          <w:rFonts w:ascii="宋体" w:hAnsi="宋体"/>
          <w:sz w:val="24"/>
        </w:rPr>
      </w:pPr>
      <w:r>
        <w:rPr>
          <w:rFonts w:hint="eastAsia" w:ascii="宋体" w:hAnsi="宋体"/>
          <w:sz w:val="24"/>
        </w:rPr>
        <w:t>4.衢州学院采购项目合同审批单</w:t>
      </w:r>
    </w:p>
    <w:p>
      <w:pPr>
        <w:adjustRightInd w:val="0"/>
        <w:snapToGrid w:val="0"/>
        <w:spacing w:line="460" w:lineRule="exact"/>
        <w:ind w:firstLine="480" w:firstLineChars="200"/>
        <w:rPr>
          <w:rFonts w:ascii="宋体" w:hAnsi="宋体"/>
          <w:sz w:val="24"/>
        </w:rPr>
      </w:pPr>
      <w:r>
        <w:rPr>
          <w:rFonts w:hint="eastAsia" w:ascii="宋体" w:hAnsi="宋体"/>
          <w:sz w:val="24"/>
        </w:rPr>
        <w:t>5.衢州学院采购项目验收报告单</w:t>
      </w:r>
    </w:p>
    <w:p>
      <w:pPr>
        <w:spacing w:line="480" w:lineRule="exact"/>
        <w:ind w:firstLine="720"/>
        <w:rPr>
          <w:rFonts w:ascii="宋体" w:hAnsi="宋体"/>
          <w:color w:val="000000"/>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bookmarkStart w:id="82" w:name="_Toc308515054"/>
      <w:bookmarkStart w:id="83" w:name="_Toc308528377"/>
      <w:bookmarkStart w:id="84" w:name="_Toc308530285"/>
      <w:bookmarkStart w:id="85" w:name="_Toc25619"/>
      <w:bookmarkStart w:id="86" w:name="_Toc10518"/>
      <w:bookmarkStart w:id="87" w:name="_Toc25407"/>
      <w:bookmarkStart w:id="88" w:name="_Toc20274"/>
    </w:p>
    <w:p/>
    <w:p/>
    <w:p/>
    <w:p>
      <w:pPr>
        <w:widowControl/>
        <w:jc w:val="left"/>
      </w:pPr>
      <w:r>
        <w:br w:type="page"/>
      </w:r>
    </w:p>
    <w:p>
      <w:pPr>
        <w:pStyle w:val="2"/>
      </w:pPr>
      <w:bookmarkStart w:id="89" w:name="_Toc46402443"/>
      <w:r>
        <w:rPr>
          <w:rFonts w:hint="eastAsia"/>
        </w:rPr>
        <w:t>衢州学院仪器设备管理办法</w:t>
      </w:r>
      <w:bookmarkEnd w:id="82"/>
      <w:bookmarkEnd w:id="83"/>
      <w:bookmarkEnd w:id="84"/>
      <w:bookmarkEnd w:id="85"/>
      <w:bookmarkEnd w:id="86"/>
      <w:bookmarkEnd w:id="87"/>
      <w:bookmarkEnd w:id="88"/>
      <w:bookmarkEnd w:id="89"/>
    </w:p>
    <w:p>
      <w:pPr>
        <w:numPr>
          <w:ilvl w:val="0"/>
          <w:numId w:val="13"/>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总则</w:t>
      </w:r>
    </w:p>
    <w:p>
      <w:pPr>
        <w:spacing w:line="480" w:lineRule="exact"/>
        <w:ind w:firstLine="472" w:firstLineChars="196"/>
        <w:rPr>
          <w:rFonts w:ascii="宋体" w:hAnsi="宋体"/>
          <w:bCs/>
          <w:sz w:val="24"/>
          <w:szCs w:val="24"/>
        </w:rPr>
      </w:pPr>
      <w:r>
        <w:rPr>
          <w:rFonts w:hint="eastAsia" w:ascii="宋体" w:hAnsi="宋体"/>
          <w:b/>
          <w:sz w:val="24"/>
          <w:szCs w:val="24"/>
        </w:rPr>
        <w:t>第一条</w:t>
      </w:r>
      <w:r>
        <w:rPr>
          <w:rFonts w:hint="eastAsia" w:ascii="宋体" w:hAnsi="宋体"/>
          <w:bCs/>
          <w:sz w:val="24"/>
          <w:szCs w:val="24"/>
        </w:rPr>
        <w:t xml:space="preserve"> 根据教育部《高等学校仪器设备管理办法》和《高等学校实验室工作规程》，结合当前市场经济变化及学校实际制定本办法。</w:t>
      </w:r>
    </w:p>
    <w:p>
      <w:pPr>
        <w:spacing w:line="480" w:lineRule="exact"/>
        <w:ind w:firstLine="472" w:firstLineChars="196"/>
        <w:rPr>
          <w:rFonts w:ascii="宋体" w:hAnsi="宋体"/>
          <w:bCs/>
          <w:sz w:val="24"/>
          <w:szCs w:val="24"/>
        </w:rPr>
      </w:pPr>
      <w:r>
        <w:rPr>
          <w:rFonts w:hint="eastAsia" w:ascii="宋体" w:hAnsi="宋体"/>
          <w:b/>
          <w:sz w:val="24"/>
          <w:szCs w:val="24"/>
        </w:rPr>
        <w:t>第二条</w:t>
      </w:r>
      <w:r>
        <w:rPr>
          <w:rFonts w:hint="eastAsia" w:ascii="宋体" w:hAnsi="宋体"/>
          <w:bCs/>
          <w:sz w:val="24"/>
          <w:szCs w:val="24"/>
        </w:rPr>
        <w:t xml:space="preserve"> 仪器设备管理工作的主要任务：根据学校教学、科研、生产等工作的需要，选择性能、价格比最佳的仪器设备；保证仪器设备的正常运行；不断研究制定措施，提高投资效益；组织研制新型教学、科研仪器；对所购仪器设备进行固定资产管理。</w:t>
      </w:r>
    </w:p>
    <w:p>
      <w:pPr>
        <w:spacing w:line="480" w:lineRule="exact"/>
        <w:ind w:firstLine="472" w:firstLineChars="196"/>
        <w:rPr>
          <w:rFonts w:ascii="宋体" w:hAnsi="宋体"/>
          <w:bCs/>
          <w:sz w:val="24"/>
          <w:szCs w:val="24"/>
        </w:rPr>
      </w:pPr>
      <w:r>
        <w:rPr>
          <w:rFonts w:hint="eastAsia" w:ascii="宋体" w:hAnsi="宋体"/>
          <w:b/>
          <w:sz w:val="24"/>
          <w:szCs w:val="24"/>
        </w:rPr>
        <w:t>第三条</w:t>
      </w:r>
      <w:r>
        <w:rPr>
          <w:rFonts w:hint="eastAsia" w:ascii="宋体" w:hAnsi="宋体"/>
          <w:bCs/>
          <w:sz w:val="24"/>
          <w:szCs w:val="24"/>
        </w:rPr>
        <w:t xml:space="preserve"> 本办法适用范围包括教学经费、科研经费、基建设备费、学校基金、实验收入以及其他预算外资金所购置的、捐赠的仪器设备。</w:t>
      </w:r>
    </w:p>
    <w:p>
      <w:pPr>
        <w:numPr>
          <w:ilvl w:val="0"/>
          <w:numId w:val="13"/>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仪器设备范围</w:t>
      </w:r>
    </w:p>
    <w:p>
      <w:pPr>
        <w:spacing w:line="480" w:lineRule="exact"/>
        <w:ind w:firstLine="472" w:firstLineChars="196"/>
        <w:rPr>
          <w:rFonts w:ascii="宋体" w:hAnsi="宋体"/>
          <w:bCs/>
          <w:sz w:val="24"/>
          <w:szCs w:val="24"/>
        </w:rPr>
      </w:pPr>
      <w:r>
        <w:rPr>
          <w:rFonts w:hint="eastAsia" w:ascii="宋体" w:hAnsi="宋体"/>
          <w:b/>
          <w:sz w:val="24"/>
          <w:szCs w:val="24"/>
        </w:rPr>
        <w:t>第四条</w:t>
      </w:r>
      <w:r>
        <w:rPr>
          <w:rFonts w:hint="eastAsia" w:ascii="宋体" w:hAnsi="宋体"/>
          <w:bCs/>
          <w:sz w:val="24"/>
          <w:szCs w:val="24"/>
        </w:rPr>
        <w:t xml:space="preserve"> 仪器设备范围的界定：</w:t>
      </w:r>
    </w:p>
    <w:p>
      <w:pPr>
        <w:snapToGrid w:val="0"/>
        <w:spacing w:line="480" w:lineRule="exact"/>
        <w:ind w:firstLine="480" w:firstLineChars="200"/>
        <w:jc w:val="left"/>
        <w:rPr>
          <w:rFonts w:ascii="宋体" w:hAnsi="宋体"/>
          <w:bCs/>
          <w:sz w:val="24"/>
          <w:szCs w:val="24"/>
        </w:rPr>
      </w:pPr>
      <w:r>
        <w:rPr>
          <w:rFonts w:hint="eastAsia" w:ascii="宋体" w:hAnsi="宋体"/>
          <w:bCs/>
          <w:sz w:val="24"/>
          <w:szCs w:val="24"/>
        </w:rPr>
        <w:t>（一）用于教学、科研的仪器设备，单价在800元及以上、耐用期一年以上并能独立使用的均为学校固定资产；</w:t>
      </w:r>
    </w:p>
    <w:p>
      <w:pPr>
        <w:snapToGrid w:val="0"/>
        <w:spacing w:line="480" w:lineRule="exact"/>
        <w:ind w:firstLine="480" w:firstLineChars="200"/>
        <w:jc w:val="left"/>
        <w:rPr>
          <w:rFonts w:ascii="宋体" w:hAnsi="宋体"/>
          <w:bCs/>
          <w:sz w:val="24"/>
          <w:szCs w:val="24"/>
        </w:rPr>
      </w:pPr>
      <w:r>
        <w:rPr>
          <w:rFonts w:hint="eastAsia" w:ascii="宋体" w:hAnsi="宋体"/>
          <w:bCs/>
          <w:sz w:val="24"/>
          <w:szCs w:val="24"/>
        </w:rPr>
        <w:t>（二）单价在10万元及以上的仪器设备或单价不满10万元但在国内比较稀缺的仪器设备均为大型仪器设备。其管理办法见《衢州学院大型仪器设备管理办法》。</w:t>
      </w:r>
    </w:p>
    <w:p>
      <w:pPr>
        <w:spacing w:line="480" w:lineRule="exact"/>
        <w:ind w:firstLine="472" w:firstLineChars="196"/>
        <w:rPr>
          <w:rFonts w:ascii="宋体" w:hAnsi="宋体"/>
          <w:bCs/>
          <w:sz w:val="24"/>
          <w:szCs w:val="24"/>
        </w:rPr>
      </w:pPr>
      <w:r>
        <w:rPr>
          <w:rFonts w:hint="eastAsia" w:ascii="宋体" w:hAnsi="宋体"/>
          <w:b/>
          <w:sz w:val="24"/>
          <w:szCs w:val="24"/>
        </w:rPr>
        <w:t>第五条</w:t>
      </w:r>
      <w:r>
        <w:rPr>
          <w:rFonts w:hint="eastAsia" w:ascii="宋体" w:hAnsi="宋体"/>
          <w:bCs/>
          <w:sz w:val="24"/>
          <w:szCs w:val="24"/>
        </w:rPr>
        <w:t xml:space="preserve"> 一般仪器设备指办公和业务用通用设备、交通工具、通讯工具等；专用仪器设备是指各种具有专门用途和专门性能的设备，包括各种仪器和机械设备、医疗器械、文体设备等。</w:t>
      </w:r>
    </w:p>
    <w:p>
      <w:pPr>
        <w:numPr>
          <w:ilvl w:val="0"/>
          <w:numId w:val="13"/>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仪器设备管理</w:t>
      </w:r>
    </w:p>
    <w:p>
      <w:pPr>
        <w:numPr>
          <w:ilvl w:val="0"/>
          <w:numId w:val="14"/>
        </w:numPr>
        <w:spacing w:line="480" w:lineRule="exact"/>
        <w:ind w:firstLine="470" w:firstLineChars="196"/>
        <w:rPr>
          <w:rFonts w:ascii="宋体" w:hAnsi="宋体"/>
          <w:bCs/>
          <w:sz w:val="24"/>
          <w:szCs w:val="24"/>
        </w:rPr>
      </w:pPr>
      <w:r>
        <w:rPr>
          <w:rFonts w:hint="eastAsia" w:ascii="宋体" w:hAnsi="宋体"/>
          <w:bCs/>
          <w:sz w:val="24"/>
          <w:szCs w:val="24"/>
        </w:rPr>
        <w:t>仪器设备的管理采取“统一领导、归口分级”管理原则，由实验室与设备管理处归口管理，实行校、学院（部门）二级管理体制。学校由分管领导负责全校仪器设备工作，各学院（部门）明确相关领导分管本单位的仪器设备管理工作，实验室主任、部门设备协管员做好仪器设备管理的具体工作，全校实验室、办公室及其他场所拥有的仪器设备均须配备管理责任人，全校仪器设备管理工作受实验室与设备管理处的业务指导和监督。</w:t>
      </w:r>
    </w:p>
    <w:p>
      <w:pPr>
        <w:numPr>
          <w:ilvl w:val="0"/>
          <w:numId w:val="15"/>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仪器设备的申请与购置</w:t>
      </w:r>
    </w:p>
    <w:p>
      <w:pPr>
        <w:spacing w:line="480" w:lineRule="exact"/>
        <w:ind w:firstLine="472" w:firstLineChars="196"/>
        <w:rPr>
          <w:rFonts w:ascii="宋体" w:hAnsi="宋体"/>
          <w:bCs/>
          <w:sz w:val="24"/>
          <w:szCs w:val="24"/>
        </w:rPr>
      </w:pPr>
      <w:r>
        <w:rPr>
          <w:rFonts w:hint="eastAsia" w:ascii="宋体" w:hAnsi="宋体"/>
          <w:b/>
          <w:sz w:val="24"/>
          <w:szCs w:val="24"/>
        </w:rPr>
        <w:t>第七条</w:t>
      </w:r>
      <w:r>
        <w:rPr>
          <w:rFonts w:hint="eastAsia" w:ascii="宋体" w:hAnsi="宋体"/>
          <w:bCs/>
          <w:sz w:val="24"/>
          <w:szCs w:val="24"/>
        </w:rPr>
        <w:t xml:space="preserve"> 所有仪器设备的购置，必须按规定程序办理申请审批手续后方可落实采购。 </w:t>
      </w:r>
    </w:p>
    <w:p>
      <w:pPr>
        <w:spacing w:line="480" w:lineRule="exact"/>
        <w:ind w:firstLine="472" w:firstLineChars="196"/>
        <w:rPr>
          <w:rFonts w:ascii="宋体" w:hAnsi="宋体"/>
          <w:bCs/>
          <w:sz w:val="24"/>
          <w:szCs w:val="24"/>
        </w:rPr>
      </w:pPr>
      <w:r>
        <w:rPr>
          <w:rFonts w:hint="eastAsia" w:ascii="宋体" w:hAnsi="宋体"/>
          <w:b/>
          <w:sz w:val="24"/>
          <w:szCs w:val="24"/>
        </w:rPr>
        <w:t>第八条</w:t>
      </w:r>
      <w:r>
        <w:rPr>
          <w:rFonts w:hint="eastAsia" w:ascii="宋体" w:hAnsi="宋体"/>
          <w:bCs/>
          <w:sz w:val="24"/>
          <w:szCs w:val="24"/>
        </w:rPr>
        <w:t xml:space="preserve"> 教学、行政部门购置仪器设备，均需按规定提出申请 (每年11月份申报下一年度仪器设备计划)，填写《衢州学院教学、科研仪器设备申购计划明细表》，经部门负责人签字盖章后，报实验室与设备管理处；实验室与设备管理处根据全校年度预算，进行汇总、初步核定，制定年度仪器设备采购计划初稿，经校长办公会议讨论审定后，下发年度仪器设备采购计划。</w:t>
      </w:r>
    </w:p>
    <w:p>
      <w:pPr>
        <w:spacing w:line="480" w:lineRule="exact"/>
        <w:ind w:firstLine="472" w:firstLineChars="196"/>
        <w:rPr>
          <w:rFonts w:ascii="宋体" w:hAnsi="宋体"/>
          <w:bCs/>
          <w:sz w:val="24"/>
          <w:szCs w:val="24"/>
        </w:rPr>
      </w:pPr>
      <w:r>
        <w:rPr>
          <w:rFonts w:hint="eastAsia" w:ascii="宋体" w:hAnsi="宋体"/>
          <w:b/>
          <w:sz w:val="24"/>
          <w:szCs w:val="24"/>
        </w:rPr>
        <w:t>第九条</w:t>
      </w:r>
      <w:r>
        <w:rPr>
          <w:rFonts w:hint="eastAsia" w:ascii="宋体" w:hAnsi="宋体"/>
          <w:bCs/>
          <w:sz w:val="24"/>
          <w:szCs w:val="24"/>
        </w:rPr>
        <w:t xml:space="preserve"> 大型仪器设备申购程序详见《衢州学院大型仪器设备管理办法》。</w:t>
      </w:r>
    </w:p>
    <w:p>
      <w:pPr>
        <w:spacing w:line="480" w:lineRule="exact"/>
        <w:ind w:firstLine="472" w:firstLineChars="196"/>
        <w:rPr>
          <w:rFonts w:ascii="宋体" w:hAnsi="宋体"/>
          <w:bCs/>
          <w:sz w:val="24"/>
          <w:szCs w:val="24"/>
        </w:rPr>
      </w:pPr>
      <w:r>
        <w:rPr>
          <w:rFonts w:hint="eastAsia" w:ascii="宋体" w:hAnsi="宋体"/>
          <w:b/>
          <w:sz w:val="24"/>
          <w:szCs w:val="24"/>
        </w:rPr>
        <w:t>第十条</w:t>
      </w:r>
      <w:r>
        <w:rPr>
          <w:rFonts w:hint="eastAsia" w:ascii="宋体" w:hAnsi="宋体"/>
          <w:bCs/>
          <w:sz w:val="24"/>
          <w:szCs w:val="24"/>
        </w:rPr>
        <w:t xml:space="preserve"> 各学院（部门）根据学校下达经费预算指标，编制 “衢州学院仪器设备采购申请表”，经实验室与设备管理处审核后由学校采购部门落实采购内容。</w:t>
      </w:r>
    </w:p>
    <w:p>
      <w:pPr>
        <w:spacing w:line="480" w:lineRule="exact"/>
        <w:ind w:firstLine="472" w:firstLineChars="196"/>
        <w:rPr>
          <w:rFonts w:ascii="宋体" w:hAnsi="宋体"/>
          <w:bCs/>
          <w:sz w:val="24"/>
          <w:szCs w:val="24"/>
        </w:rPr>
      </w:pPr>
      <w:r>
        <w:rPr>
          <w:rFonts w:hint="eastAsia" w:ascii="宋体" w:hAnsi="宋体"/>
          <w:b/>
          <w:sz w:val="24"/>
          <w:szCs w:val="24"/>
        </w:rPr>
        <w:t>第十一条</w:t>
      </w:r>
      <w:r>
        <w:rPr>
          <w:rFonts w:hint="eastAsia" w:ascii="宋体" w:hAnsi="宋体"/>
          <w:bCs/>
          <w:sz w:val="24"/>
          <w:szCs w:val="24"/>
        </w:rPr>
        <w:t xml:space="preserve"> 学校年度仪器设备采购计划以外的设备采购参见《衢州学院招投标管理办法》和《衢州学院零星物品采购管理办法》执行。</w:t>
      </w:r>
    </w:p>
    <w:p>
      <w:pPr>
        <w:spacing w:line="480" w:lineRule="exact"/>
        <w:ind w:firstLine="472" w:firstLineChars="196"/>
        <w:rPr>
          <w:rFonts w:ascii="宋体" w:hAnsi="宋体"/>
          <w:bCs/>
          <w:sz w:val="24"/>
          <w:szCs w:val="24"/>
        </w:rPr>
      </w:pPr>
      <w:r>
        <w:rPr>
          <w:rFonts w:hint="eastAsia" w:ascii="宋体" w:hAnsi="宋体"/>
          <w:b/>
          <w:sz w:val="24"/>
          <w:szCs w:val="24"/>
        </w:rPr>
        <w:t>第十二条</w:t>
      </w:r>
      <w:r>
        <w:rPr>
          <w:rFonts w:hint="eastAsia" w:ascii="宋体" w:hAnsi="宋体"/>
          <w:bCs/>
          <w:sz w:val="24"/>
          <w:szCs w:val="24"/>
        </w:rPr>
        <w:t xml:space="preserve"> 所有进口（包括捐赠）设备和控购物资，均由实验室与设备管理处负责完成一系列相关的申请、报关、建账手续。 </w:t>
      </w:r>
    </w:p>
    <w:p>
      <w:pPr>
        <w:numPr>
          <w:ilvl w:val="0"/>
          <w:numId w:val="15"/>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仪器设备的验收</w:t>
      </w:r>
    </w:p>
    <w:p>
      <w:pPr>
        <w:spacing w:line="480" w:lineRule="exact"/>
        <w:ind w:firstLine="472" w:firstLineChars="196"/>
        <w:rPr>
          <w:rFonts w:ascii="宋体" w:hAnsi="宋体"/>
          <w:bCs/>
          <w:sz w:val="24"/>
          <w:szCs w:val="24"/>
        </w:rPr>
      </w:pPr>
      <w:r>
        <w:rPr>
          <w:rFonts w:hint="eastAsia" w:ascii="宋体" w:hAnsi="宋体"/>
          <w:b/>
          <w:sz w:val="24"/>
          <w:szCs w:val="24"/>
        </w:rPr>
        <w:t>第十三条</w:t>
      </w:r>
      <w:r>
        <w:rPr>
          <w:rFonts w:hint="eastAsia" w:ascii="宋体" w:hAnsi="宋体"/>
          <w:bCs/>
          <w:sz w:val="24"/>
          <w:szCs w:val="24"/>
        </w:rPr>
        <w:t xml:space="preserve"> 学校成立仪器设备验收小组，验收组织工作由实验室与设备管理处负责，验收专家从验收专家资料库中选择，并按设备类别分电脑类、机电类、分析测试类、一般设备类等若干个验收小组。使用部门验收人员由部门负责人、实验室主任、设备使用保管人等组成。设备验收填写《衢州学院仪器设备采购验收报告》 。</w:t>
      </w:r>
    </w:p>
    <w:p>
      <w:pPr>
        <w:spacing w:line="480" w:lineRule="exact"/>
        <w:ind w:firstLine="472" w:firstLineChars="196"/>
        <w:rPr>
          <w:rFonts w:ascii="宋体" w:hAnsi="宋体"/>
          <w:bCs/>
          <w:sz w:val="24"/>
          <w:szCs w:val="24"/>
        </w:rPr>
      </w:pPr>
      <w:r>
        <w:rPr>
          <w:rFonts w:hint="eastAsia" w:ascii="宋体" w:hAnsi="宋体"/>
          <w:b/>
          <w:sz w:val="24"/>
          <w:szCs w:val="24"/>
        </w:rPr>
        <w:t>第十四条</w:t>
      </w:r>
      <w:r>
        <w:rPr>
          <w:rFonts w:hint="eastAsia" w:ascii="宋体" w:hAnsi="宋体"/>
          <w:bCs/>
          <w:sz w:val="24"/>
          <w:szCs w:val="24"/>
        </w:rPr>
        <w:t xml:space="preserve"> 仪器设备到货后，使用部门先开箱进行清单验收，然后联系供货方进行调试、测试等技术验收。待设备稳定试运行一段时间，设备符合验收条件，使用部门及时联系实验室与设备管理处，组织人员验收；如合同对验收期限有特殊规定的，按合同规定执行。</w:t>
      </w:r>
    </w:p>
    <w:p>
      <w:pPr>
        <w:tabs>
          <w:tab w:val="left" w:pos="6090"/>
        </w:tabs>
        <w:spacing w:line="480" w:lineRule="exact"/>
        <w:ind w:firstLine="472" w:firstLineChars="196"/>
        <w:rPr>
          <w:rFonts w:ascii="宋体" w:hAnsi="宋体"/>
          <w:bCs/>
          <w:sz w:val="24"/>
          <w:szCs w:val="24"/>
        </w:rPr>
      </w:pPr>
      <w:r>
        <w:rPr>
          <w:rFonts w:hint="eastAsia" w:ascii="宋体" w:hAnsi="宋体"/>
          <w:b/>
          <w:sz w:val="24"/>
          <w:szCs w:val="24"/>
        </w:rPr>
        <w:t>第十五条</w:t>
      </w:r>
      <w:r>
        <w:rPr>
          <w:rFonts w:hint="eastAsia" w:ascii="宋体" w:hAnsi="宋体"/>
          <w:bCs/>
          <w:sz w:val="24"/>
          <w:szCs w:val="24"/>
        </w:rPr>
        <w:t xml:space="preserve"> 设备的验收范围和参加验收人员组成：</w:t>
      </w:r>
    </w:p>
    <w:p>
      <w:pPr>
        <w:spacing w:line="480" w:lineRule="exact"/>
        <w:ind w:firstLine="480" w:firstLineChars="200"/>
        <w:rPr>
          <w:rFonts w:ascii="宋体" w:hAnsi="宋体"/>
          <w:bCs/>
          <w:sz w:val="24"/>
          <w:szCs w:val="24"/>
        </w:rPr>
      </w:pPr>
      <w:r>
        <w:rPr>
          <w:rFonts w:hint="eastAsia" w:ascii="宋体" w:hAnsi="宋体"/>
          <w:bCs/>
          <w:sz w:val="24"/>
          <w:szCs w:val="24"/>
        </w:rPr>
        <w:t>（一）凡单台件1万元以下、批量5万元以下的设备，由部门负责人、实验室主任、设备使用保管人负责验收；</w:t>
      </w:r>
    </w:p>
    <w:p>
      <w:pPr>
        <w:spacing w:line="480" w:lineRule="exact"/>
        <w:ind w:firstLine="480" w:firstLineChars="200"/>
        <w:rPr>
          <w:rFonts w:ascii="宋体" w:hAnsi="宋体"/>
          <w:bCs/>
          <w:sz w:val="24"/>
          <w:szCs w:val="24"/>
        </w:rPr>
      </w:pPr>
      <w:r>
        <w:rPr>
          <w:rFonts w:hint="eastAsia" w:ascii="宋体" w:hAnsi="宋体"/>
          <w:bCs/>
          <w:sz w:val="24"/>
          <w:szCs w:val="24"/>
        </w:rPr>
        <w:t>（二）凡单台件1万元以上、批量5万元以上的设备，由实验室与设备管理处协同使用部门进行设备验收；</w:t>
      </w:r>
    </w:p>
    <w:p>
      <w:pPr>
        <w:spacing w:line="480" w:lineRule="exact"/>
        <w:ind w:firstLine="480" w:firstLineChars="200"/>
        <w:rPr>
          <w:rFonts w:ascii="宋体" w:hAnsi="宋体"/>
          <w:bCs/>
          <w:sz w:val="24"/>
          <w:szCs w:val="24"/>
        </w:rPr>
      </w:pPr>
      <w:r>
        <w:rPr>
          <w:rFonts w:hint="eastAsia" w:ascii="宋体" w:hAnsi="宋体"/>
          <w:bCs/>
          <w:sz w:val="24"/>
          <w:szCs w:val="24"/>
        </w:rPr>
        <w:t>（三）单价10万元以上（含）的大型精密仪器设备，由实验室与设备管理处组织学校设备验收小组共同验收；特大型项目或技术要求高的仪器设备，可从校外特聘专家、技术人员或临时增加验收组成员。设备档案资料（说明书、光盘等）交学校档案室存档；</w:t>
      </w:r>
    </w:p>
    <w:p>
      <w:pPr>
        <w:spacing w:line="480" w:lineRule="exact"/>
        <w:ind w:firstLine="480" w:firstLineChars="200"/>
        <w:rPr>
          <w:rFonts w:ascii="宋体" w:hAnsi="宋体"/>
          <w:bCs/>
          <w:sz w:val="24"/>
          <w:szCs w:val="24"/>
        </w:rPr>
      </w:pPr>
      <w:r>
        <w:rPr>
          <w:rFonts w:hint="eastAsia" w:ascii="宋体" w:hAnsi="宋体"/>
          <w:bCs/>
          <w:sz w:val="24"/>
          <w:szCs w:val="24"/>
        </w:rPr>
        <w:t>（四）新建实验室由实验室与设备管理处组织学校相关部门组成验收小组进行整体验收。</w:t>
      </w:r>
    </w:p>
    <w:p>
      <w:pPr>
        <w:spacing w:line="480" w:lineRule="exact"/>
        <w:ind w:firstLine="472" w:firstLineChars="196"/>
        <w:rPr>
          <w:rFonts w:ascii="宋体" w:hAnsi="宋体"/>
          <w:bCs/>
          <w:sz w:val="24"/>
          <w:szCs w:val="24"/>
        </w:rPr>
      </w:pPr>
      <w:r>
        <w:rPr>
          <w:rFonts w:hint="eastAsia" w:ascii="宋体" w:hAnsi="宋体"/>
          <w:b/>
          <w:sz w:val="24"/>
          <w:szCs w:val="24"/>
        </w:rPr>
        <w:t>第十六条</w:t>
      </w:r>
      <w:r>
        <w:rPr>
          <w:rFonts w:hint="eastAsia" w:ascii="宋体" w:hAnsi="宋体"/>
          <w:bCs/>
          <w:sz w:val="24"/>
          <w:szCs w:val="24"/>
        </w:rPr>
        <w:t xml:space="preserve"> 自行安装的仪器设备，安装前应仔细阅读安装使用说明书，严格按照说明书的要求进行安装、调试。</w:t>
      </w:r>
    </w:p>
    <w:p>
      <w:pPr>
        <w:spacing w:line="480" w:lineRule="exact"/>
        <w:ind w:firstLine="472" w:firstLineChars="196"/>
        <w:rPr>
          <w:rFonts w:ascii="宋体" w:hAnsi="宋体"/>
          <w:bCs/>
          <w:sz w:val="24"/>
          <w:szCs w:val="24"/>
        </w:rPr>
      </w:pPr>
      <w:r>
        <w:rPr>
          <w:rFonts w:hint="eastAsia" w:ascii="宋体" w:hAnsi="宋体"/>
          <w:b/>
          <w:sz w:val="24"/>
          <w:szCs w:val="24"/>
        </w:rPr>
        <w:t>第十七条</w:t>
      </w:r>
      <w:r>
        <w:rPr>
          <w:rFonts w:hint="eastAsia" w:ascii="宋体" w:hAnsi="宋体"/>
          <w:bCs/>
          <w:sz w:val="24"/>
          <w:szCs w:val="24"/>
        </w:rPr>
        <w:t xml:space="preserve"> 合同规定需要国内外生产厂商派人员参加安装、调试验收的，应在仪器设备到货后通知他们按规定时间到校验收，并认真填写验收备忘录。</w:t>
      </w:r>
    </w:p>
    <w:p>
      <w:pPr>
        <w:spacing w:line="480" w:lineRule="exact"/>
        <w:ind w:firstLine="472" w:firstLineChars="196"/>
        <w:rPr>
          <w:rFonts w:ascii="宋体" w:hAnsi="宋体"/>
          <w:bCs/>
          <w:sz w:val="24"/>
          <w:szCs w:val="24"/>
        </w:rPr>
      </w:pPr>
      <w:r>
        <w:rPr>
          <w:rFonts w:hint="eastAsia" w:ascii="宋体" w:hAnsi="宋体"/>
          <w:b/>
          <w:sz w:val="24"/>
          <w:szCs w:val="24"/>
        </w:rPr>
        <w:t>第十八条</w:t>
      </w:r>
      <w:r>
        <w:rPr>
          <w:rFonts w:hint="eastAsia" w:ascii="宋体" w:hAnsi="宋体"/>
          <w:bCs/>
          <w:sz w:val="24"/>
          <w:szCs w:val="24"/>
        </w:rPr>
        <w:t xml:space="preserve"> 在验收中，如发现有破损、短缺、质量不合格、技术指标不符等情况，由物资采供科根据合同条款向供应商提出交涉，办理退、换、补、赔等手续。</w:t>
      </w:r>
    </w:p>
    <w:p>
      <w:pPr>
        <w:numPr>
          <w:ilvl w:val="0"/>
          <w:numId w:val="16"/>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仪器设备的账务管理</w:t>
      </w:r>
    </w:p>
    <w:p>
      <w:pPr>
        <w:spacing w:line="480" w:lineRule="exact"/>
        <w:ind w:firstLine="472" w:firstLineChars="196"/>
        <w:rPr>
          <w:rFonts w:ascii="宋体" w:hAnsi="宋体"/>
          <w:bCs/>
          <w:sz w:val="24"/>
          <w:szCs w:val="24"/>
        </w:rPr>
      </w:pPr>
      <w:r>
        <w:rPr>
          <w:rFonts w:hint="eastAsia" w:ascii="宋体" w:hAnsi="宋体"/>
          <w:b/>
          <w:sz w:val="24"/>
          <w:szCs w:val="24"/>
        </w:rPr>
        <w:t>第十九条</w:t>
      </w:r>
      <w:r>
        <w:rPr>
          <w:rFonts w:hint="eastAsia" w:ascii="宋体" w:hAnsi="宋体"/>
          <w:bCs/>
          <w:sz w:val="24"/>
          <w:szCs w:val="24"/>
        </w:rPr>
        <w:t xml:space="preserve"> 仪器设备验收合格后，应及时办理仪器设备固定资产入账和报销手续。</w:t>
      </w:r>
    </w:p>
    <w:p>
      <w:pPr>
        <w:spacing w:line="480" w:lineRule="exact"/>
        <w:ind w:firstLine="472" w:firstLineChars="196"/>
        <w:rPr>
          <w:rFonts w:ascii="宋体" w:hAnsi="宋体"/>
          <w:bCs/>
          <w:sz w:val="24"/>
          <w:szCs w:val="24"/>
        </w:rPr>
      </w:pPr>
      <w:r>
        <w:rPr>
          <w:rFonts w:hint="eastAsia" w:ascii="宋体" w:hAnsi="宋体"/>
          <w:b/>
          <w:sz w:val="24"/>
          <w:szCs w:val="24"/>
        </w:rPr>
        <w:t>第二十条</w:t>
      </w:r>
      <w:r>
        <w:rPr>
          <w:rFonts w:hint="eastAsia" w:ascii="宋体" w:hAnsi="宋体"/>
          <w:bCs/>
          <w:sz w:val="24"/>
          <w:szCs w:val="24"/>
        </w:rPr>
        <w:t xml:space="preserve"> 新购置的800元及以上的仪器设备，不论是使用何种经费，来自何种渠道，必须纳入学校固定资产管理范围，由设备协管员填写《衢州学院固定资产增置单》，办理入账手续。</w:t>
      </w:r>
    </w:p>
    <w:p>
      <w:pPr>
        <w:spacing w:line="480" w:lineRule="exact"/>
        <w:ind w:firstLine="472" w:firstLineChars="196"/>
        <w:rPr>
          <w:rFonts w:ascii="宋体" w:hAnsi="宋体"/>
          <w:bCs/>
          <w:sz w:val="24"/>
          <w:szCs w:val="24"/>
        </w:rPr>
      </w:pPr>
      <w:r>
        <w:rPr>
          <w:rFonts w:hint="eastAsia" w:ascii="宋体" w:hAnsi="宋体"/>
          <w:b/>
          <w:sz w:val="24"/>
          <w:szCs w:val="24"/>
        </w:rPr>
        <w:t>第二十一条</w:t>
      </w:r>
      <w:r>
        <w:rPr>
          <w:rFonts w:hint="eastAsia" w:ascii="宋体" w:hAnsi="宋体"/>
          <w:bCs/>
          <w:sz w:val="24"/>
          <w:szCs w:val="24"/>
        </w:rPr>
        <w:t xml:space="preserve"> 设备管理员应及时将仪器设备的标签贴在该设备的明显位置，以便清查核对。</w:t>
      </w:r>
    </w:p>
    <w:p>
      <w:pPr>
        <w:spacing w:line="480" w:lineRule="exact"/>
        <w:ind w:firstLine="472" w:firstLineChars="196"/>
        <w:rPr>
          <w:rFonts w:ascii="宋体" w:hAnsi="宋体"/>
          <w:bCs/>
          <w:sz w:val="24"/>
          <w:szCs w:val="24"/>
        </w:rPr>
      </w:pPr>
      <w:r>
        <w:rPr>
          <w:rFonts w:hint="eastAsia" w:ascii="宋体" w:hAnsi="宋体"/>
          <w:b/>
          <w:sz w:val="24"/>
          <w:szCs w:val="24"/>
        </w:rPr>
        <w:t>第二十二条</w:t>
      </w:r>
      <w:r>
        <w:rPr>
          <w:rFonts w:hint="eastAsia" w:ascii="宋体" w:hAnsi="宋体"/>
          <w:bCs/>
          <w:sz w:val="24"/>
          <w:szCs w:val="24"/>
        </w:rPr>
        <w:t xml:space="preserve"> 实验室与设备管理处建立全校仪器设备总账、分户账、分类账；各部门建立仪器设备分户账。</w:t>
      </w:r>
    </w:p>
    <w:p>
      <w:pPr>
        <w:spacing w:line="480" w:lineRule="exact"/>
        <w:ind w:firstLine="472" w:firstLineChars="196"/>
        <w:rPr>
          <w:rFonts w:ascii="宋体" w:hAnsi="宋体"/>
          <w:bCs/>
          <w:sz w:val="24"/>
          <w:szCs w:val="24"/>
        </w:rPr>
      </w:pPr>
      <w:r>
        <w:rPr>
          <w:rFonts w:hint="eastAsia" w:ascii="宋体" w:hAnsi="宋体"/>
          <w:b/>
          <w:sz w:val="24"/>
          <w:szCs w:val="24"/>
        </w:rPr>
        <w:t>第二十三条</w:t>
      </w:r>
      <w:r>
        <w:rPr>
          <w:rFonts w:hint="eastAsia" w:ascii="宋体" w:hAnsi="宋体"/>
          <w:bCs/>
          <w:sz w:val="24"/>
          <w:szCs w:val="24"/>
        </w:rPr>
        <w:t xml:space="preserve"> 各部门设备协管员必须定期对本单位的仪器设备账、物进行核查，以保证账物相符。实验室与设备管理处每年组织对仪器设备进行清查核对工作。</w:t>
      </w:r>
    </w:p>
    <w:p>
      <w:pPr>
        <w:numPr>
          <w:ilvl w:val="0"/>
          <w:numId w:val="17"/>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仪器设备的使用、保管和维护</w:t>
      </w:r>
    </w:p>
    <w:p>
      <w:pPr>
        <w:spacing w:line="480" w:lineRule="exact"/>
        <w:ind w:firstLine="472" w:firstLineChars="196"/>
        <w:rPr>
          <w:rFonts w:ascii="宋体" w:hAnsi="宋体"/>
          <w:bCs/>
          <w:sz w:val="24"/>
          <w:szCs w:val="24"/>
        </w:rPr>
      </w:pPr>
      <w:r>
        <w:rPr>
          <w:rFonts w:hint="eastAsia" w:ascii="宋体" w:hAnsi="宋体"/>
          <w:b/>
          <w:sz w:val="24"/>
          <w:szCs w:val="24"/>
        </w:rPr>
        <w:t>第二十四条</w:t>
      </w:r>
      <w:r>
        <w:rPr>
          <w:rFonts w:hint="eastAsia" w:ascii="宋体" w:hAnsi="宋体"/>
          <w:bCs/>
          <w:sz w:val="24"/>
          <w:szCs w:val="24"/>
        </w:rPr>
        <w:t xml:space="preserve"> 使用仪器设备，必须严格遵守操作规程。使用大型精密仪器设备，必须进行技术培训，经技术考核合格后方可上机操作。单价10万元以上仪器设备，要建立技术档案，准确记录使用、借用、损坏、检查维修等情况。</w:t>
      </w:r>
    </w:p>
    <w:p>
      <w:pPr>
        <w:spacing w:line="480" w:lineRule="exact"/>
        <w:ind w:firstLine="472" w:firstLineChars="196"/>
        <w:rPr>
          <w:rFonts w:ascii="宋体" w:hAnsi="宋体"/>
          <w:bCs/>
          <w:sz w:val="24"/>
          <w:szCs w:val="24"/>
        </w:rPr>
      </w:pPr>
      <w:r>
        <w:rPr>
          <w:rFonts w:hint="eastAsia" w:ascii="宋体" w:hAnsi="宋体"/>
          <w:b/>
          <w:sz w:val="24"/>
          <w:szCs w:val="24"/>
        </w:rPr>
        <w:t>第二十五条</w:t>
      </w:r>
      <w:r>
        <w:rPr>
          <w:rFonts w:hint="eastAsia" w:ascii="宋体" w:hAnsi="宋体"/>
          <w:bCs/>
          <w:sz w:val="24"/>
          <w:szCs w:val="24"/>
        </w:rPr>
        <w:t xml:space="preserve"> 仪器设备的完好率、利用率应达到教育部有关考核、评估指标，并采取措施不断提高仪器设备利用率。对单价在10万元以下的仪器设备，主要由学院（部门）负责检查、考评，实验室与设备管理处组织抽查；对单价在10万元及以上的大型精密仪器设备，实验室与设备管理处根据教育部考核标准组织检查、考评。</w:t>
      </w:r>
    </w:p>
    <w:p>
      <w:pPr>
        <w:spacing w:line="480" w:lineRule="exact"/>
        <w:ind w:firstLine="472" w:firstLineChars="196"/>
        <w:rPr>
          <w:rFonts w:ascii="宋体" w:hAnsi="宋体"/>
          <w:bCs/>
          <w:sz w:val="24"/>
          <w:szCs w:val="24"/>
        </w:rPr>
      </w:pPr>
      <w:r>
        <w:rPr>
          <w:rFonts w:hint="eastAsia" w:ascii="宋体" w:hAnsi="宋体"/>
          <w:b/>
          <w:sz w:val="24"/>
          <w:szCs w:val="24"/>
        </w:rPr>
        <w:t>第二十六条</w:t>
      </w:r>
      <w:r>
        <w:rPr>
          <w:rFonts w:hint="eastAsia" w:ascii="宋体" w:hAnsi="宋体"/>
          <w:bCs/>
          <w:sz w:val="24"/>
          <w:szCs w:val="24"/>
        </w:rPr>
        <w:t xml:space="preserve"> 要充分发挥学校仪器设备的资源作用，在保证完成教学、科研工作的前提下，开展社会技术服务，具体收费参照《衢州学院教学仪器设施对外服务收费管理办法》。</w:t>
      </w:r>
    </w:p>
    <w:p>
      <w:pPr>
        <w:spacing w:line="480" w:lineRule="exact"/>
        <w:ind w:firstLine="472" w:firstLineChars="196"/>
        <w:rPr>
          <w:rFonts w:ascii="宋体" w:hAnsi="宋体"/>
          <w:bCs/>
          <w:sz w:val="24"/>
          <w:szCs w:val="24"/>
        </w:rPr>
      </w:pPr>
      <w:r>
        <w:rPr>
          <w:rFonts w:hint="eastAsia" w:ascii="宋体" w:hAnsi="宋体"/>
          <w:b/>
          <w:sz w:val="24"/>
          <w:szCs w:val="24"/>
        </w:rPr>
        <w:t>第二十七条</w:t>
      </w:r>
      <w:r>
        <w:rPr>
          <w:rFonts w:hint="eastAsia" w:ascii="宋体" w:hAnsi="宋体"/>
          <w:bCs/>
          <w:sz w:val="24"/>
          <w:szCs w:val="24"/>
        </w:rPr>
        <w:t xml:space="preserve"> 仪器设备领用、管理人不得随便拆改其领用和管理的仪器设备，对确须进行技术改造而拆改的，须经批准。单价在5万元以下的须经学院（部门）领导批准，集中报实验室与设备管理处备案；单价在5万元及以上的，须经实验室与设备管理处审批。</w:t>
      </w:r>
    </w:p>
    <w:p>
      <w:pPr>
        <w:spacing w:line="480" w:lineRule="exact"/>
        <w:ind w:firstLine="472" w:firstLineChars="196"/>
        <w:rPr>
          <w:rFonts w:ascii="宋体" w:hAnsi="宋体"/>
          <w:bCs/>
          <w:dstrike/>
          <w:sz w:val="24"/>
          <w:szCs w:val="24"/>
        </w:rPr>
      </w:pPr>
      <w:r>
        <w:rPr>
          <w:rFonts w:hint="eastAsia" w:ascii="宋体" w:hAnsi="宋体"/>
          <w:b/>
          <w:sz w:val="24"/>
          <w:szCs w:val="24"/>
        </w:rPr>
        <w:t>第二十八条</w:t>
      </w:r>
      <w:r>
        <w:rPr>
          <w:rFonts w:hint="eastAsia" w:ascii="宋体" w:hAnsi="宋体"/>
          <w:bCs/>
          <w:sz w:val="24"/>
          <w:szCs w:val="24"/>
        </w:rPr>
        <w:t xml:space="preserve"> 仪器设备管理人员要按不同仪器设备的性能和要求，加强仪器设备的保养和维修，定期校验技术指标，确保其应有的性能和精密度，并做好相关防护工作。</w:t>
      </w:r>
    </w:p>
    <w:p>
      <w:pPr>
        <w:spacing w:line="480" w:lineRule="exact"/>
        <w:ind w:firstLine="472" w:firstLineChars="196"/>
        <w:rPr>
          <w:rFonts w:ascii="宋体" w:hAnsi="宋体"/>
          <w:bCs/>
          <w:sz w:val="24"/>
          <w:szCs w:val="24"/>
        </w:rPr>
      </w:pPr>
      <w:r>
        <w:rPr>
          <w:rFonts w:hint="eastAsia" w:ascii="宋体" w:hAnsi="宋体"/>
          <w:b/>
          <w:sz w:val="24"/>
          <w:szCs w:val="24"/>
        </w:rPr>
        <w:t>第二十九条</w:t>
      </w:r>
      <w:r>
        <w:rPr>
          <w:rFonts w:hint="eastAsia" w:ascii="宋体" w:hAnsi="宋体"/>
          <w:bCs/>
          <w:sz w:val="24"/>
          <w:szCs w:val="24"/>
        </w:rPr>
        <w:t xml:space="preserve"> 科研项目资金购买的仪器设备，使用权为项目负责人，所有权归学校，项目负责人离退休或调离学校，仪器设备必须归还学校。</w:t>
      </w:r>
    </w:p>
    <w:p>
      <w:pPr>
        <w:spacing w:line="480" w:lineRule="exact"/>
        <w:ind w:firstLine="472" w:firstLineChars="196"/>
        <w:rPr>
          <w:rFonts w:ascii="宋体" w:hAnsi="宋体"/>
          <w:bCs/>
          <w:sz w:val="24"/>
          <w:szCs w:val="24"/>
        </w:rPr>
      </w:pPr>
      <w:r>
        <w:rPr>
          <w:rFonts w:hint="eastAsia" w:ascii="宋体" w:hAnsi="宋体"/>
          <w:b/>
          <w:sz w:val="24"/>
          <w:szCs w:val="24"/>
        </w:rPr>
        <w:t>第三十条</w:t>
      </w:r>
      <w:r>
        <w:rPr>
          <w:rFonts w:hint="eastAsia" w:ascii="宋体" w:hAnsi="宋体"/>
          <w:bCs/>
          <w:sz w:val="24"/>
          <w:szCs w:val="24"/>
        </w:rPr>
        <w:t xml:space="preserve"> 仪器设备维修管理参照《衢州学院设备维修管理办法》执行。</w:t>
      </w:r>
    </w:p>
    <w:p>
      <w:pPr>
        <w:numPr>
          <w:ilvl w:val="0"/>
          <w:numId w:val="17"/>
        </w:numPr>
        <w:spacing w:line="480" w:lineRule="exact"/>
        <w:jc w:val="center"/>
        <w:rPr>
          <w:rFonts w:ascii="黑体" w:hAnsi="黑体" w:eastAsia="黑体" w:cs="黑体"/>
          <w:bCs/>
          <w:sz w:val="32"/>
          <w:szCs w:val="32"/>
        </w:rPr>
      </w:pPr>
      <w:r>
        <w:rPr>
          <w:rFonts w:hint="eastAsia" w:ascii="黑体" w:hAnsi="黑体" w:eastAsia="黑体" w:cs="黑体"/>
          <w:bCs/>
          <w:sz w:val="32"/>
          <w:szCs w:val="32"/>
        </w:rPr>
        <w:t>仪器设备的调拨</w:t>
      </w:r>
    </w:p>
    <w:p>
      <w:pPr>
        <w:widowControl/>
        <w:snapToGrid w:val="0"/>
        <w:spacing w:line="480" w:lineRule="exact"/>
        <w:ind w:firstLine="472" w:firstLineChars="196"/>
        <w:jc w:val="left"/>
        <w:rPr>
          <w:rFonts w:ascii="宋体" w:hAnsi="宋体"/>
          <w:bCs/>
          <w:sz w:val="24"/>
          <w:szCs w:val="24"/>
        </w:rPr>
      </w:pPr>
      <w:r>
        <w:rPr>
          <w:rFonts w:hint="eastAsia" w:ascii="宋体" w:hAnsi="宋体"/>
          <w:b/>
          <w:sz w:val="24"/>
          <w:szCs w:val="24"/>
        </w:rPr>
        <w:t>第三十一条</w:t>
      </w:r>
      <w:r>
        <w:rPr>
          <w:rFonts w:hint="eastAsia" w:ascii="宋体" w:hAnsi="宋体"/>
          <w:bCs/>
          <w:sz w:val="24"/>
          <w:szCs w:val="24"/>
        </w:rPr>
        <w:t xml:space="preserve"> 部门内部的仪器设备调拨，填写《衢州学院部门内部固定资产领用人变更表》，由部门负责人审批。设备保管员及时到实验室与设备管理处办理帐目变更手续。</w:t>
      </w:r>
    </w:p>
    <w:p>
      <w:pPr>
        <w:spacing w:line="480" w:lineRule="exact"/>
        <w:ind w:firstLine="472" w:firstLineChars="196"/>
        <w:rPr>
          <w:rFonts w:ascii="宋体" w:hAnsi="宋体"/>
          <w:bCs/>
          <w:sz w:val="24"/>
          <w:szCs w:val="24"/>
        </w:rPr>
      </w:pPr>
      <w:r>
        <w:rPr>
          <w:rFonts w:hint="eastAsia" w:ascii="宋体" w:hAnsi="宋体"/>
          <w:b/>
          <w:sz w:val="24"/>
          <w:szCs w:val="24"/>
        </w:rPr>
        <w:t>第三十二条</w:t>
      </w:r>
      <w:r>
        <w:rPr>
          <w:rFonts w:hint="eastAsia" w:ascii="宋体" w:hAnsi="宋体"/>
          <w:bCs/>
          <w:sz w:val="24"/>
          <w:szCs w:val="24"/>
        </w:rPr>
        <w:t xml:space="preserve"> 校内各单位之间的仪器设备调拨，由调拨双方部门负责人批准后，填写《衢州学院固定资产调拨单》，到实验室与设备管理处办理帐目变更手续。</w:t>
      </w:r>
    </w:p>
    <w:p>
      <w:pPr>
        <w:spacing w:line="480" w:lineRule="exact"/>
        <w:ind w:firstLine="472" w:firstLineChars="196"/>
        <w:rPr>
          <w:rFonts w:ascii="宋体" w:hAnsi="宋体"/>
          <w:bCs/>
          <w:sz w:val="24"/>
          <w:szCs w:val="24"/>
        </w:rPr>
      </w:pPr>
      <w:r>
        <w:rPr>
          <w:rFonts w:hint="eastAsia" w:ascii="宋体" w:hAnsi="宋体"/>
          <w:b/>
          <w:sz w:val="24"/>
          <w:szCs w:val="24"/>
        </w:rPr>
        <w:t>第三十三条</w:t>
      </w:r>
      <w:r>
        <w:rPr>
          <w:rFonts w:hint="eastAsia" w:ascii="宋体" w:hAnsi="宋体"/>
          <w:bCs/>
          <w:sz w:val="24"/>
          <w:szCs w:val="24"/>
        </w:rPr>
        <w:t xml:space="preserve"> 校外调拨，须经实验室与设备管理处审核，报分管校领导批准。</w:t>
      </w:r>
    </w:p>
    <w:p>
      <w:pPr>
        <w:widowControl/>
        <w:numPr>
          <w:ilvl w:val="0"/>
          <w:numId w:val="17"/>
        </w:numPr>
        <w:snapToGrid w:val="0"/>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仪器设备的移交</w:t>
      </w:r>
    </w:p>
    <w:p>
      <w:pPr>
        <w:widowControl/>
        <w:snapToGrid w:val="0"/>
        <w:spacing w:line="480" w:lineRule="exact"/>
        <w:ind w:firstLine="472" w:firstLineChars="196"/>
        <w:jc w:val="left"/>
        <w:rPr>
          <w:rFonts w:ascii="宋体" w:hAnsi="宋体"/>
          <w:bCs/>
          <w:sz w:val="24"/>
          <w:szCs w:val="24"/>
        </w:rPr>
      </w:pPr>
      <w:r>
        <w:rPr>
          <w:rFonts w:hint="eastAsia" w:ascii="宋体" w:hAnsi="宋体"/>
          <w:b/>
          <w:sz w:val="24"/>
          <w:szCs w:val="24"/>
        </w:rPr>
        <w:t>第三十四条</w:t>
      </w:r>
      <w:r>
        <w:rPr>
          <w:rFonts w:hint="eastAsia" w:ascii="宋体" w:hAnsi="宋体"/>
          <w:bCs/>
          <w:sz w:val="24"/>
          <w:szCs w:val="24"/>
        </w:rPr>
        <w:t xml:space="preserve"> 离（退）休、调出人员，应在离岗前一个月，由原设备保管人办理仪器设备移交手续后，方可办理离退休、调离手续，不得以任何理由拒绝移交或私自处理（带走、转送或卖出等）仪器设备。</w:t>
      </w:r>
    </w:p>
    <w:p>
      <w:pPr>
        <w:widowControl/>
        <w:snapToGrid w:val="0"/>
        <w:spacing w:line="480" w:lineRule="exact"/>
        <w:ind w:firstLine="472" w:firstLineChars="196"/>
        <w:jc w:val="left"/>
        <w:rPr>
          <w:rFonts w:ascii="宋体" w:hAnsi="宋体"/>
          <w:bCs/>
          <w:sz w:val="24"/>
          <w:szCs w:val="24"/>
        </w:rPr>
      </w:pPr>
      <w:r>
        <w:rPr>
          <w:rFonts w:hint="eastAsia" w:ascii="宋体" w:hAnsi="宋体"/>
          <w:b/>
          <w:sz w:val="24"/>
          <w:szCs w:val="24"/>
        </w:rPr>
        <w:t>第三十五条</w:t>
      </w:r>
      <w:r>
        <w:rPr>
          <w:rFonts w:hint="eastAsia" w:ascii="宋体" w:hAnsi="宋体"/>
          <w:bCs/>
          <w:sz w:val="24"/>
          <w:szCs w:val="24"/>
        </w:rPr>
        <w:t xml:space="preserve"> 主要移交内容如下：</w:t>
      </w:r>
    </w:p>
    <w:p>
      <w:pPr>
        <w:widowControl/>
        <w:snapToGrid w:val="0"/>
        <w:spacing w:line="480" w:lineRule="exact"/>
        <w:ind w:firstLine="472" w:firstLineChars="197"/>
        <w:jc w:val="left"/>
        <w:rPr>
          <w:rFonts w:ascii="宋体" w:hAnsi="宋体"/>
          <w:bCs/>
          <w:sz w:val="24"/>
          <w:szCs w:val="24"/>
        </w:rPr>
      </w:pPr>
      <w:r>
        <w:rPr>
          <w:rFonts w:hint="eastAsia" w:ascii="宋体" w:hAnsi="宋体"/>
          <w:bCs/>
          <w:sz w:val="24"/>
          <w:szCs w:val="24"/>
        </w:rPr>
        <w:t>（一）使用和管理的所有仪器设备（帐、物相符，借进、借出凭证）核对；</w:t>
      </w:r>
    </w:p>
    <w:p>
      <w:pPr>
        <w:widowControl/>
        <w:snapToGrid w:val="0"/>
        <w:spacing w:line="480" w:lineRule="exact"/>
        <w:ind w:firstLine="480" w:firstLineChars="200"/>
        <w:jc w:val="left"/>
        <w:rPr>
          <w:rFonts w:ascii="宋体" w:hAnsi="宋体"/>
          <w:bCs/>
          <w:sz w:val="24"/>
          <w:szCs w:val="24"/>
        </w:rPr>
      </w:pPr>
      <w:r>
        <w:rPr>
          <w:rFonts w:hint="eastAsia" w:ascii="宋体" w:hAnsi="宋体"/>
          <w:bCs/>
          <w:sz w:val="24"/>
          <w:szCs w:val="24"/>
        </w:rPr>
        <w:t>（二）大型仪器设备的技术档案资料（含随机技术资料、验收报告、日常使用记录、维修记录等）以及零部件实物情况（数量、质量、存放地点等）；</w:t>
      </w:r>
    </w:p>
    <w:p>
      <w:pPr>
        <w:widowControl/>
        <w:snapToGrid w:val="0"/>
        <w:spacing w:line="480" w:lineRule="exact"/>
        <w:ind w:firstLine="480" w:firstLineChars="200"/>
        <w:jc w:val="left"/>
        <w:rPr>
          <w:rFonts w:ascii="宋体" w:hAnsi="宋体"/>
          <w:bCs/>
          <w:sz w:val="24"/>
          <w:szCs w:val="24"/>
        </w:rPr>
      </w:pPr>
      <w:r>
        <w:rPr>
          <w:rFonts w:hint="eastAsia" w:ascii="宋体" w:hAnsi="宋体"/>
          <w:bCs/>
          <w:sz w:val="24"/>
          <w:szCs w:val="24"/>
        </w:rPr>
        <w:t xml:space="preserve">（三）工具； </w:t>
      </w:r>
    </w:p>
    <w:p>
      <w:pPr>
        <w:widowControl/>
        <w:snapToGrid w:val="0"/>
        <w:spacing w:line="480" w:lineRule="exact"/>
        <w:ind w:firstLine="480" w:firstLineChars="200"/>
        <w:jc w:val="left"/>
        <w:rPr>
          <w:rFonts w:ascii="宋体" w:hAnsi="宋体"/>
          <w:bCs/>
          <w:sz w:val="24"/>
          <w:szCs w:val="24"/>
        </w:rPr>
      </w:pPr>
      <w:r>
        <w:rPr>
          <w:rFonts w:hint="eastAsia" w:ascii="宋体" w:hAnsi="宋体"/>
          <w:bCs/>
          <w:sz w:val="24"/>
          <w:szCs w:val="24"/>
        </w:rPr>
        <w:t>（四）实验室及实验室内箱、柜等的钥匙；</w:t>
      </w:r>
    </w:p>
    <w:p>
      <w:pPr>
        <w:widowControl/>
        <w:snapToGrid w:val="0"/>
        <w:spacing w:line="480" w:lineRule="exact"/>
        <w:ind w:firstLine="480" w:firstLineChars="200"/>
        <w:jc w:val="left"/>
        <w:rPr>
          <w:rFonts w:ascii="宋体" w:hAnsi="宋体"/>
          <w:bCs/>
          <w:sz w:val="24"/>
          <w:szCs w:val="24"/>
        </w:rPr>
      </w:pPr>
      <w:r>
        <w:rPr>
          <w:rFonts w:hint="eastAsia" w:ascii="宋体" w:hAnsi="宋体"/>
          <w:bCs/>
          <w:sz w:val="24"/>
          <w:szCs w:val="24"/>
        </w:rPr>
        <w:t>（五）其他应该交接的事宜。</w:t>
      </w:r>
    </w:p>
    <w:p>
      <w:pPr>
        <w:numPr>
          <w:ilvl w:val="0"/>
          <w:numId w:val="17"/>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仪器设备的报废</w:t>
      </w:r>
    </w:p>
    <w:p>
      <w:pPr>
        <w:spacing w:line="480" w:lineRule="exact"/>
        <w:ind w:firstLine="472" w:firstLineChars="196"/>
        <w:rPr>
          <w:rFonts w:ascii="宋体" w:hAnsi="宋体"/>
          <w:bCs/>
          <w:sz w:val="24"/>
          <w:szCs w:val="24"/>
        </w:rPr>
      </w:pPr>
      <w:r>
        <w:rPr>
          <w:rFonts w:hint="eastAsia" w:ascii="宋体" w:hAnsi="宋体"/>
          <w:b/>
          <w:sz w:val="24"/>
          <w:szCs w:val="24"/>
        </w:rPr>
        <w:t>第三十六条</w:t>
      </w:r>
      <w:r>
        <w:rPr>
          <w:rFonts w:hint="eastAsia" w:ascii="宋体" w:hAnsi="宋体"/>
          <w:bCs/>
          <w:sz w:val="24"/>
          <w:szCs w:val="24"/>
        </w:rPr>
        <w:t xml:space="preserve"> 仪器设备报废详见《衢州学院仪器设备报废处理办法》。</w:t>
      </w:r>
    </w:p>
    <w:p>
      <w:pPr>
        <w:numPr>
          <w:ilvl w:val="0"/>
          <w:numId w:val="17"/>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仪器设备的赔偿</w:t>
      </w:r>
    </w:p>
    <w:p>
      <w:pPr>
        <w:spacing w:line="480" w:lineRule="exact"/>
        <w:ind w:firstLine="472" w:firstLineChars="196"/>
        <w:rPr>
          <w:rFonts w:ascii="宋体" w:hAnsi="宋体"/>
          <w:bCs/>
          <w:sz w:val="24"/>
          <w:szCs w:val="24"/>
        </w:rPr>
      </w:pPr>
      <w:r>
        <w:rPr>
          <w:rFonts w:hint="eastAsia" w:ascii="宋体" w:hAnsi="宋体"/>
          <w:b/>
          <w:sz w:val="24"/>
          <w:szCs w:val="24"/>
        </w:rPr>
        <w:t>第三十七条</w:t>
      </w:r>
      <w:r>
        <w:rPr>
          <w:rFonts w:hint="eastAsia" w:ascii="宋体" w:hAnsi="宋体"/>
          <w:bCs/>
          <w:sz w:val="24"/>
          <w:szCs w:val="24"/>
        </w:rPr>
        <w:t xml:space="preserve"> 对发生仪器设备丢失、损坏事故的，当事人须填写《衢州学院仪器设备丢失、损坏事故报告单》，按《衢州学院仪器设备丢失、损坏处理办法》处理。</w:t>
      </w:r>
    </w:p>
    <w:p>
      <w:pPr>
        <w:numPr>
          <w:ilvl w:val="0"/>
          <w:numId w:val="17"/>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附则</w:t>
      </w:r>
    </w:p>
    <w:p>
      <w:pPr>
        <w:spacing w:line="480" w:lineRule="exact"/>
        <w:ind w:firstLine="472" w:firstLineChars="196"/>
        <w:rPr>
          <w:rFonts w:ascii="宋体" w:hAnsi="宋体"/>
          <w:bCs/>
          <w:sz w:val="24"/>
          <w:szCs w:val="24"/>
        </w:rPr>
      </w:pPr>
      <w:r>
        <w:rPr>
          <w:rFonts w:hint="eastAsia" w:ascii="宋体" w:hAnsi="宋体"/>
          <w:b/>
          <w:sz w:val="24"/>
          <w:szCs w:val="24"/>
        </w:rPr>
        <w:t>第三十八条</w:t>
      </w:r>
      <w:r>
        <w:rPr>
          <w:rFonts w:hint="eastAsia" w:ascii="宋体" w:hAnsi="宋体"/>
          <w:bCs/>
          <w:sz w:val="24"/>
          <w:szCs w:val="24"/>
        </w:rPr>
        <w:t xml:space="preserve"> 有关材料、低值耐用品、易耗品的管理，按《衢州学院低值耐用品、材料、易耗品管理办法 》执行。</w:t>
      </w:r>
    </w:p>
    <w:p>
      <w:pPr>
        <w:spacing w:line="480" w:lineRule="exact"/>
        <w:rPr>
          <w:rFonts w:ascii="宋体" w:hAnsi="宋体"/>
          <w:bCs/>
          <w:sz w:val="24"/>
          <w:szCs w:val="24"/>
        </w:rPr>
      </w:pPr>
      <w:r>
        <w:rPr>
          <w:rFonts w:hint="eastAsia" w:ascii="宋体" w:hAnsi="宋体"/>
          <w:bCs/>
          <w:sz w:val="24"/>
          <w:szCs w:val="24"/>
        </w:rPr>
        <w:t xml:space="preserve">  </w:t>
      </w:r>
      <w:r>
        <w:rPr>
          <w:rFonts w:hint="eastAsia" w:ascii="宋体" w:hAnsi="宋体"/>
          <w:b/>
          <w:sz w:val="24"/>
          <w:szCs w:val="24"/>
        </w:rPr>
        <w:t xml:space="preserve">  第三十九条</w:t>
      </w:r>
      <w:r>
        <w:rPr>
          <w:rFonts w:hint="eastAsia" w:ascii="宋体" w:hAnsi="宋体"/>
          <w:bCs/>
          <w:sz w:val="24"/>
          <w:szCs w:val="24"/>
        </w:rPr>
        <w:t xml:space="preserve"> 本办法自颁布之日起执行,由实验室与设备管理处负责解释。</w:t>
      </w:r>
    </w:p>
    <w:p>
      <w:pPr>
        <w:rPr>
          <w:bCs/>
        </w:rPr>
      </w:pPr>
    </w:p>
    <w:p>
      <w:pPr>
        <w:widowControl/>
        <w:jc w:val="left"/>
      </w:pPr>
      <w:r>
        <w:br w:type="page"/>
      </w:r>
    </w:p>
    <w:p>
      <w:pPr>
        <w:pStyle w:val="2"/>
      </w:pPr>
      <w:bookmarkStart w:id="90" w:name="_Toc308528378"/>
      <w:bookmarkStart w:id="91" w:name="_Toc320614568"/>
      <w:bookmarkStart w:id="92" w:name="_Toc320524712"/>
      <w:bookmarkStart w:id="93" w:name="_Toc308515055"/>
      <w:bookmarkStart w:id="94" w:name="_Toc31066"/>
      <w:bookmarkStart w:id="95" w:name="_Toc736"/>
      <w:bookmarkStart w:id="96" w:name="_Toc13368"/>
      <w:bookmarkStart w:id="97" w:name="_Toc6692"/>
      <w:bookmarkStart w:id="98" w:name="_Toc46402444"/>
      <w:r>
        <w:rPr>
          <w:rFonts w:hint="eastAsia"/>
        </w:rPr>
        <w:t>衢州学院低值耐用品、材料、易耗品管理办法</w:t>
      </w:r>
      <w:bookmarkEnd w:id="90"/>
      <w:bookmarkEnd w:id="91"/>
      <w:bookmarkEnd w:id="92"/>
      <w:bookmarkEnd w:id="93"/>
      <w:bookmarkEnd w:id="94"/>
      <w:bookmarkEnd w:id="95"/>
      <w:bookmarkEnd w:id="96"/>
      <w:bookmarkEnd w:id="97"/>
      <w:bookmarkEnd w:id="98"/>
    </w:p>
    <w:p>
      <w:pPr>
        <w:numPr>
          <w:ilvl w:val="0"/>
          <w:numId w:val="18"/>
        </w:numPr>
        <w:spacing w:line="480" w:lineRule="exact"/>
        <w:jc w:val="center"/>
        <w:rPr>
          <w:rFonts w:ascii="黑体" w:hAnsi="黑体" w:eastAsia="黑体" w:cs="黑体"/>
          <w:sz w:val="32"/>
          <w:szCs w:val="32"/>
        </w:rPr>
      </w:pPr>
      <w:r>
        <w:rPr>
          <w:rFonts w:hint="eastAsia" w:ascii="黑体" w:hAnsi="黑体" w:eastAsia="黑体" w:cs="黑体"/>
          <w:sz w:val="32"/>
          <w:szCs w:val="32"/>
        </w:rPr>
        <w:t xml:space="preserve"> 总则</w:t>
      </w:r>
    </w:p>
    <w:p>
      <w:pPr>
        <w:spacing w:line="480" w:lineRule="exact"/>
        <w:ind w:firstLine="472" w:firstLineChars="196"/>
        <w:rPr>
          <w:rFonts w:ascii="宋体" w:hAnsi="宋体"/>
          <w:sz w:val="24"/>
          <w:szCs w:val="24"/>
        </w:rPr>
      </w:pPr>
      <w:r>
        <w:rPr>
          <w:rFonts w:hint="eastAsia" w:ascii="宋体" w:hAnsi="宋体"/>
          <w:b/>
          <w:bCs/>
          <w:sz w:val="24"/>
          <w:szCs w:val="24"/>
        </w:rPr>
        <w:t>第一条</w:t>
      </w:r>
      <w:r>
        <w:rPr>
          <w:rFonts w:hint="eastAsia" w:ascii="宋体" w:hAnsi="宋体"/>
          <w:sz w:val="24"/>
          <w:szCs w:val="24"/>
        </w:rPr>
        <w:t xml:space="preserve"> 为加强我校低值耐用品、材料、易耗品（以下简称物品）的管理，防止积压,减少浪费，保证教学、科研等工作的顺利进行，结合学校实际，制定本办法。</w:t>
      </w:r>
    </w:p>
    <w:p>
      <w:pPr>
        <w:spacing w:line="480" w:lineRule="exact"/>
        <w:ind w:firstLine="472" w:firstLineChars="196"/>
        <w:rPr>
          <w:rFonts w:ascii="宋体" w:hAnsi="宋体"/>
          <w:sz w:val="24"/>
          <w:szCs w:val="24"/>
        </w:rPr>
      </w:pPr>
      <w:r>
        <w:rPr>
          <w:rFonts w:hint="eastAsia" w:ascii="宋体" w:hAnsi="宋体"/>
          <w:b/>
          <w:bCs/>
          <w:sz w:val="24"/>
          <w:szCs w:val="24"/>
        </w:rPr>
        <w:t>第二条</w:t>
      </w:r>
      <w:r>
        <w:rPr>
          <w:rFonts w:hint="eastAsia" w:ascii="宋体" w:hAnsi="宋体"/>
          <w:sz w:val="24"/>
          <w:szCs w:val="24"/>
        </w:rPr>
        <w:t xml:space="preserve"> 根据“统一领导，分工管理，专人负责，合理调配，节约使用”的原则加强物品的管理，实验室与设备管理处是归口管理部门，各学院（部门）确定专人负责。</w:t>
      </w:r>
    </w:p>
    <w:p>
      <w:pPr>
        <w:spacing w:line="480" w:lineRule="exact"/>
        <w:ind w:firstLine="472" w:firstLineChars="196"/>
        <w:rPr>
          <w:rFonts w:ascii="宋体" w:hAnsi="宋体"/>
          <w:sz w:val="24"/>
          <w:szCs w:val="24"/>
        </w:rPr>
      </w:pPr>
      <w:r>
        <w:rPr>
          <w:rFonts w:hint="eastAsia" w:ascii="宋体" w:hAnsi="宋体"/>
          <w:b/>
          <w:bCs/>
          <w:sz w:val="24"/>
          <w:szCs w:val="24"/>
        </w:rPr>
        <w:t>第三条</w:t>
      </w:r>
      <w:r>
        <w:rPr>
          <w:rFonts w:hint="eastAsia" w:ascii="宋体" w:hAnsi="宋体"/>
          <w:sz w:val="24"/>
          <w:szCs w:val="24"/>
        </w:rPr>
        <w:t xml:space="preserve"> 物品供应管理人员工作岗位应相对稳定，必须调动时，须办理交接手续。</w:t>
      </w:r>
    </w:p>
    <w:p>
      <w:pPr>
        <w:numPr>
          <w:ilvl w:val="0"/>
          <w:numId w:val="18"/>
        </w:numPr>
        <w:spacing w:line="480" w:lineRule="exact"/>
        <w:jc w:val="center"/>
        <w:rPr>
          <w:rFonts w:ascii="黑体" w:hAnsi="黑体" w:eastAsia="黑体" w:cs="黑体"/>
          <w:sz w:val="32"/>
          <w:szCs w:val="32"/>
        </w:rPr>
      </w:pPr>
      <w:r>
        <w:rPr>
          <w:rFonts w:hint="eastAsia" w:ascii="黑体" w:hAnsi="黑体" w:eastAsia="黑体" w:cs="黑体"/>
          <w:sz w:val="32"/>
          <w:szCs w:val="32"/>
        </w:rPr>
        <w:t xml:space="preserve"> 物品的范围、分类</w:t>
      </w:r>
    </w:p>
    <w:p>
      <w:pPr>
        <w:spacing w:line="480" w:lineRule="exact"/>
        <w:ind w:firstLine="472" w:firstLineChars="196"/>
        <w:rPr>
          <w:rFonts w:ascii="宋体" w:hAnsi="宋体"/>
          <w:sz w:val="24"/>
          <w:szCs w:val="24"/>
        </w:rPr>
      </w:pPr>
      <w:r>
        <w:rPr>
          <w:rFonts w:hint="eastAsia" w:ascii="宋体" w:hAnsi="宋体"/>
          <w:b/>
          <w:bCs/>
          <w:sz w:val="24"/>
          <w:szCs w:val="24"/>
        </w:rPr>
        <w:t>第四条</w:t>
      </w:r>
      <w:r>
        <w:rPr>
          <w:rFonts w:hint="eastAsia" w:ascii="宋体" w:hAnsi="宋体"/>
          <w:sz w:val="24"/>
          <w:szCs w:val="24"/>
        </w:rPr>
        <w:t xml:space="preserve"> 本办法所称的物品，系指教学、科研、生产试验等使用的，单位价值达不到固定资产标准，不属于固定资产管理范围的物资。</w:t>
      </w:r>
    </w:p>
    <w:p>
      <w:pPr>
        <w:spacing w:line="480" w:lineRule="exact"/>
        <w:ind w:firstLine="480" w:firstLineChars="200"/>
        <w:rPr>
          <w:rFonts w:ascii="宋体" w:hAnsi="宋体"/>
          <w:sz w:val="24"/>
          <w:szCs w:val="24"/>
        </w:rPr>
      </w:pPr>
      <w:r>
        <w:rPr>
          <w:rFonts w:hint="eastAsia" w:ascii="宋体" w:hAnsi="宋体"/>
          <w:sz w:val="24"/>
          <w:szCs w:val="24"/>
        </w:rPr>
        <w:t>具体分类如下：</w:t>
      </w:r>
    </w:p>
    <w:p>
      <w:pPr>
        <w:spacing w:line="480" w:lineRule="exact"/>
        <w:ind w:firstLine="480" w:firstLineChars="200"/>
        <w:rPr>
          <w:rFonts w:ascii="宋体" w:hAnsi="宋体"/>
          <w:sz w:val="24"/>
          <w:szCs w:val="24"/>
        </w:rPr>
      </w:pPr>
      <w:r>
        <w:rPr>
          <w:rFonts w:hint="eastAsia" w:ascii="宋体" w:hAnsi="宋体"/>
          <w:sz w:val="24"/>
          <w:szCs w:val="24"/>
        </w:rPr>
        <w:t>（一）低值耐用品：凡不符合固定资产标准，能长期使用又不属材料范围的物资，如仪表、继电器、计算器、录音机、工具、量具和一般器具等；</w:t>
      </w:r>
    </w:p>
    <w:p>
      <w:pPr>
        <w:spacing w:line="480" w:lineRule="exact"/>
        <w:ind w:firstLine="480" w:firstLineChars="200"/>
        <w:rPr>
          <w:rFonts w:ascii="宋体" w:hAnsi="宋体"/>
          <w:sz w:val="24"/>
          <w:szCs w:val="24"/>
        </w:rPr>
      </w:pPr>
      <w:r>
        <w:rPr>
          <w:rFonts w:hint="eastAsia" w:ascii="宋体" w:hAnsi="宋体"/>
          <w:sz w:val="24"/>
          <w:szCs w:val="24"/>
        </w:rPr>
        <w:t>（二）材料：凡一次性使用即消耗或不能复原的物资，如金属或非金属材料、燃料、油料、试剂、气体、药品等；</w:t>
      </w:r>
    </w:p>
    <w:p>
      <w:pPr>
        <w:spacing w:line="480" w:lineRule="exact"/>
        <w:ind w:firstLine="480" w:firstLineChars="200"/>
        <w:rPr>
          <w:rFonts w:ascii="宋体" w:hAnsi="宋体"/>
          <w:sz w:val="24"/>
          <w:szCs w:val="24"/>
        </w:rPr>
      </w:pPr>
      <w:r>
        <w:rPr>
          <w:rFonts w:hint="eastAsia" w:ascii="宋体" w:hAnsi="宋体"/>
          <w:sz w:val="24"/>
          <w:szCs w:val="24"/>
        </w:rPr>
        <w:t>（三）易耗品：指在使用过程中易于消耗的物品，如玻璃器皿、电子器件、配件、实验用小动物等。</w:t>
      </w:r>
    </w:p>
    <w:p>
      <w:pPr>
        <w:numPr>
          <w:ilvl w:val="0"/>
          <w:numId w:val="19"/>
        </w:numPr>
        <w:spacing w:line="480" w:lineRule="exact"/>
        <w:jc w:val="center"/>
        <w:rPr>
          <w:rFonts w:ascii="黑体" w:hAnsi="黑体" w:eastAsia="黑体" w:cs="黑体"/>
          <w:sz w:val="32"/>
          <w:szCs w:val="32"/>
        </w:rPr>
      </w:pPr>
      <w:r>
        <w:rPr>
          <w:rFonts w:hint="eastAsia" w:ascii="黑体" w:hAnsi="黑体" w:eastAsia="黑体" w:cs="黑体"/>
          <w:sz w:val="32"/>
          <w:szCs w:val="32"/>
        </w:rPr>
        <w:t xml:space="preserve"> 物品的计划及购置</w:t>
      </w:r>
    </w:p>
    <w:p>
      <w:pPr>
        <w:spacing w:line="480" w:lineRule="exact"/>
        <w:ind w:firstLine="472" w:firstLineChars="196"/>
        <w:rPr>
          <w:rFonts w:ascii="宋体" w:hAnsi="宋体"/>
          <w:sz w:val="24"/>
          <w:szCs w:val="24"/>
        </w:rPr>
      </w:pPr>
      <w:r>
        <w:rPr>
          <w:rFonts w:hint="eastAsia" w:ascii="宋体" w:hAnsi="宋体"/>
          <w:b/>
          <w:bCs/>
          <w:sz w:val="24"/>
          <w:szCs w:val="24"/>
        </w:rPr>
        <w:t>第五条</w:t>
      </w:r>
      <w:r>
        <w:rPr>
          <w:rFonts w:hint="eastAsia" w:ascii="宋体" w:hAnsi="宋体"/>
          <w:sz w:val="24"/>
          <w:szCs w:val="24"/>
        </w:rPr>
        <w:t xml:space="preserve"> 实验室与设备管理处根据实验室建设规划、学校发展实际和上一年度核定经费与使用情况、根据单位时间内每位学生实验的成本拟定实验材料、易耗品经费预算，经设备与实验室管理处负责人审定，报计财处审核批准。</w:t>
      </w:r>
      <w:r>
        <w:rPr>
          <w:rFonts w:hint="eastAsia" w:ascii="宋体" w:hAnsi="宋体"/>
          <w:sz w:val="24"/>
          <w:szCs w:val="24"/>
        </w:rPr>
        <w:br w:type="textWrapping"/>
      </w:r>
      <w:r>
        <w:rPr>
          <w:rFonts w:hint="eastAsia" w:ascii="宋体" w:hAnsi="宋体"/>
          <w:sz w:val="24"/>
          <w:szCs w:val="24"/>
        </w:rPr>
        <w:t xml:space="preserve">    </w:t>
      </w:r>
      <w:r>
        <w:rPr>
          <w:rFonts w:hint="eastAsia" w:ascii="宋体" w:hAnsi="宋体"/>
          <w:b/>
          <w:bCs/>
          <w:sz w:val="24"/>
          <w:szCs w:val="24"/>
        </w:rPr>
        <w:t>第六条</w:t>
      </w:r>
      <w:r>
        <w:rPr>
          <w:rFonts w:hint="eastAsia" w:ascii="宋体" w:hAnsi="宋体"/>
          <w:sz w:val="24"/>
          <w:szCs w:val="24"/>
        </w:rPr>
        <w:t xml:space="preserve"> 学校下拨给各学院的实验材料、易耗品经费只能用于学生的教学实验中；教师进行科研实验所需的材料、易耗品，在各自的科研经费中列支；学生毕业论文所需的材料、易耗品，如学生的选题是指导教师课题一部分的，其经费由材料费与教师个人课题费各承担一半。</w:t>
      </w:r>
    </w:p>
    <w:p>
      <w:pPr>
        <w:spacing w:line="480" w:lineRule="exact"/>
        <w:ind w:firstLine="472" w:firstLineChars="196"/>
        <w:rPr>
          <w:rFonts w:ascii="宋体" w:hAnsi="宋体"/>
          <w:sz w:val="24"/>
          <w:szCs w:val="24"/>
        </w:rPr>
      </w:pPr>
      <w:r>
        <w:rPr>
          <w:rFonts w:hint="eastAsia" w:ascii="宋体" w:hAnsi="宋体"/>
          <w:b/>
          <w:bCs/>
          <w:sz w:val="24"/>
          <w:szCs w:val="24"/>
        </w:rPr>
        <w:t>第七条</w:t>
      </w:r>
      <w:r>
        <w:rPr>
          <w:rFonts w:hint="eastAsia" w:ascii="宋体" w:hAnsi="宋体"/>
          <w:sz w:val="24"/>
          <w:szCs w:val="24"/>
        </w:rPr>
        <w:t xml:space="preserve"> 零星物品的采购详见《衢州学院零星物品采购管理办法》。   </w:t>
      </w:r>
    </w:p>
    <w:p>
      <w:pPr>
        <w:spacing w:line="480" w:lineRule="exact"/>
        <w:ind w:firstLine="472" w:firstLineChars="196"/>
        <w:rPr>
          <w:rFonts w:ascii="宋体" w:hAnsi="宋体"/>
          <w:sz w:val="24"/>
          <w:szCs w:val="24"/>
        </w:rPr>
      </w:pPr>
      <w:r>
        <w:rPr>
          <w:rFonts w:hint="eastAsia" w:ascii="宋体" w:hAnsi="宋体"/>
          <w:b/>
          <w:bCs/>
          <w:sz w:val="24"/>
          <w:szCs w:val="24"/>
        </w:rPr>
        <w:t>第八条</w:t>
      </w:r>
      <w:r>
        <w:rPr>
          <w:rFonts w:hint="eastAsia" w:ascii="宋体" w:hAnsi="宋体"/>
          <w:sz w:val="24"/>
          <w:szCs w:val="24"/>
        </w:rPr>
        <w:t xml:space="preserve"> 物品入库前应及时验收并办理入库手续。验收时必须注意质量的检查。验收中发现问题，应及时通知采购人员根据有关规定告知供货、运输单位，及时办理退、换或赔、补手续。</w:t>
      </w:r>
    </w:p>
    <w:p>
      <w:pPr>
        <w:numPr>
          <w:ilvl w:val="0"/>
          <w:numId w:val="20"/>
        </w:numPr>
        <w:spacing w:line="480" w:lineRule="exact"/>
        <w:jc w:val="center"/>
        <w:rPr>
          <w:rFonts w:ascii="黑体" w:hAnsi="黑体" w:eastAsia="黑体" w:cs="黑体"/>
          <w:sz w:val="32"/>
          <w:szCs w:val="32"/>
        </w:rPr>
      </w:pPr>
      <w:r>
        <w:rPr>
          <w:rFonts w:hint="eastAsia" w:ascii="黑体" w:hAnsi="黑体" w:eastAsia="黑体" w:cs="黑体"/>
          <w:sz w:val="32"/>
          <w:szCs w:val="32"/>
        </w:rPr>
        <w:t xml:space="preserve"> 物品的管理</w:t>
      </w:r>
    </w:p>
    <w:p>
      <w:pPr>
        <w:spacing w:line="480" w:lineRule="exact"/>
        <w:ind w:firstLine="472" w:firstLineChars="196"/>
        <w:rPr>
          <w:rFonts w:ascii="宋体" w:hAnsi="宋体"/>
          <w:sz w:val="24"/>
          <w:szCs w:val="24"/>
        </w:rPr>
      </w:pPr>
      <w:r>
        <w:rPr>
          <w:rFonts w:hint="eastAsia" w:ascii="宋体" w:hAnsi="宋体"/>
          <w:b/>
          <w:bCs/>
          <w:sz w:val="24"/>
          <w:szCs w:val="24"/>
        </w:rPr>
        <w:t>第九条</w:t>
      </w:r>
      <w:r>
        <w:rPr>
          <w:rFonts w:hint="eastAsia" w:ascii="宋体" w:hAnsi="宋体"/>
          <w:sz w:val="24"/>
          <w:szCs w:val="24"/>
        </w:rPr>
        <w:t xml:space="preserve"> 各学院（部门）必须建立严格的物品管理制度。对物品的计划、购置、保管、使用和回收都要有专人负责，做到验收严格认真，进出手续清楚，定期核对检查，确保账物相符。</w:t>
      </w:r>
    </w:p>
    <w:p>
      <w:pPr>
        <w:spacing w:line="480" w:lineRule="exact"/>
        <w:ind w:firstLine="472" w:firstLineChars="196"/>
        <w:rPr>
          <w:rFonts w:ascii="宋体" w:hAnsi="宋体"/>
          <w:sz w:val="24"/>
          <w:szCs w:val="24"/>
        </w:rPr>
      </w:pPr>
      <w:r>
        <w:rPr>
          <w:rFonts w:hint="eastAsia" w:ascii="宋体" w:hAnsi="宋体"/>
          <w:b/>
          <w:bCs/>
          <w:sz w:val="24"/>
          <w:szCs w:val="24"/>
        </w:rPr>
        <w:t>第十条</w:t>
      </w:r>
      <w:r>
        <w:rPr>
          <w:rFonts w:hint="eastAsia" w:ascii="宋体" w:hAnsi="宋体"/>
          <w:sz w:val="24"/>
          <w:szCs w:val="24"/>
        </w:rPr>
        <w:t xml:space="preserve"> 为避免物品的积压与浪费，学校实行物品零库存管理制度，各使用单位指派专人领取和保管，属实验材料的不能随意改作他用。</w:t>
      </w:r>
    </w:p>
    <w:p>
      <w:pPr>
        <w:spacing w:line="480" w:lineRule="exact"/>
        <w:ind w:firstLine="472" w:firstLineChars="196"/>
        <w:rPr>
          <w:rFonts w:ascii="宋体" w:hAnsi="宋体"/>
          <w:sz w:val="24"/>
          <w:szCs w:val="24"/>
        </w:rPr>
      </w:pPr>
      <w:r>
        <w:rPr>
          <w:rFonts w:hint="eastAsia" w:ascii="宋体" w:hAnsi="宋体"/>
          <w:b/>
          <w:bCs/>
          <w:sz w:val="24"/>
          <w:szCs w:val="24"/>
        </w:rPr>
        <w:t>第十一条</w:t>
      </w:r>
      <w:r>
        <w:rPr>
          <w:rFonts w:hint="eastAsia" w:ascii="宋体" w:hAnsi="宋体"/>
          <w:sz w:val="24"/>
          <w:szCs w:val="24"/>
        </w:rPr>
        <w:t xml:space="preserve"> 使用单位对多余不用的物品，应办理退库手续，退回仓库前应经质量鉴定。对使用单位确实无法使用的残次、废旧物品和包装材料等，应按具体情况组织回收，变价出售或调剂处理。</w:t>
      </w:r>
    </w:p>
    <w:p>
      <w:pPr>
        <w:spacing w:line="480" w:lineRule="exact"/>
        <w:ind w:firstLine="472" w:firstLineChars="196"/>
        <w:rPr>
          <w:rFonts w:ascii="宋体" w:hAnsi="宋体"/>
          <w:sz w:val="24"/>
          <w:szCs w:val="24"/>
        </w:rPr>
      </w:pPr>
      <w:r>
        <w:rPr>
          <w:rFonts w:hint="eastAsia" w:ascii="宋体" w:hAnsi="宋体"/>
          <w:b/>
          <w:bCs/>
          <w:sz w:val="24"/>
          <w:szCs w:val="24"/>
        </w:rPr>
        <w:t>第十二条</w:t>
      </w:r>
      <w:r>
        <w:rPr>
          <w:rFonts w:hint="eastAsia" w:ascii="宋体" w:hAnsi="宋体"/>
          <w:sz w:val="24"/>
          <w:szCs w:val="24"/>
        </w:rPr>
        <w:t xml:space="preserve"> 对易燃、易爆、剧毒、放射性及麻醉等危险物品，应设立危险物品仓库，由工作认真可靠并具有一定保管知识的人员管理。具体管理办法按照《衢州学院化学危险品安全管理办法》执行。</w:t>
      </w:r>
    </w:p>
    <w:p>
      <w:pPr>
        <w:numPr>
          <w:ilvl w:val="0"/>
          <w:numId w:val="20"/>
        </w:numPr>
        <w:spacing w:line="480" w:lineRule="exact"/>
        <w:jc w:val="center"/>
        <w:rPr>
          <w:rFonts w:ascii="黑体" w:hAnsi="黑体" w:eastAsia="黑体" w:cs="黑体"/>
          <w:sz w:val="32"/>
          <w:szCs w:val="32"/>
        </w:rPr>
      </w:pPr>
      <w:r>
        <w:rPr>
          <w:rFonts w:hint="eastAsia" w:ascii="黑体" w:hAnsi="黑体" w:eastAsia="黑体" w:cs="黑体"/>
          <w:sz w:val="32"/>
          <w:szCs w:val="32"/>
        </w:rPr>
        <w:t xml:space="preserve"> 附则</w:t>
      </w:r>
    </w:p>
    <w:p>
      <w:pPr>
        <w:spacing w:line="480" w:lineRule="exact"/>
        <w:ind w:firstLine="472" w:firstLineChars="196"/>
        <w:rPr>
          <w:rFonts w:ascii="宋体" w:hAnsi="宋体"/>
          <w:sz w:val="24"/>
          <w:szCs w:val="24"/>
        </w:rPr>
      </w:pPr>
      <w:r>
        <w:rPr>
          <w:rFonts w:hint="eastAsia" w:ascii="宋体" w:hAnsi="宋体"/>
          <w:b/>
          <w:bCs/>
          <w:sz w:val="24"/>
          <w:szCs w:val="24"/>
        </w:rPr>
        <w:t>第十三条</w:t>
      </w:r>
      <w:r>
        <w:rPr>
          <w:rFonts w:hint="eastAsia" w:ascii="宋体" w:hAnsi="宋体"/>
          <w:sz w:val="24"/>
          <w:szCs w:val="24"/>
        </w:rPr>
        <w:t xml:space="preserve"> 本办法自颁布之日起执行，由实验室与设备管理处负责解释。</w:t>
      </w:r>
    </w:p>
    <w:p>
      <w:pPr>
        <w:widowControl/>
        <w:jc w:val="left"/>
        <w:rPr>
          <w:rFonts w:ascii="宋体" w:hAnsi="宋体"/>
          <w:sz w:val="24"/>
          <w:szCs w:val="24"/>
        </w:rPr>
      </w:pPr>
      <w:r>
        <w:rPr>
          <w:rFonts w:ascii="宋体" w:hAnsi="宋体"/>
          <w:sz w:val="24"/>
          <w:szCs w:val="24"/>
        </w:rPr>
        <w:br w:type="page"/>
      </w:r>
    </w:p>
    <w:p>
      <w:pPr>
        <w:pStyle w:val="2"/>
      </w:pPr>
      <w:bookmarkStart w:id="99" w:name="_Toc320524713"/>
      <w:bookmarkStart w:id="100" w:name="_Toc19059"/>
      <w:bookmarkStart w:id="101" w:name="_Toc8434"/>
      <w:bookmarkStart w:id="102" w:name="_Toc12576"/>
      <w:bookmarkStart w:id="103" w:name="_Toc10490"/>
      <w:bookmarkStart w:id="104" w:name="_Toc320614569"/>
      <w:bookmarkStart w:id="105" w:name="_Toc46402445"/>
      <w:bookmarkStart w:id="106" w:name="_Toc308528379"/>
      <w:bookmarkStart w:id="107" w:name="_Toc308530287"/>
      <w:bookmarkStart w:id="108" w:name="_Toc308515056"/>
      <w:r>
        <w:rPr>
          <w:rFonts w:hint="eastAsia"/>
        </w:rPr>
        <w:t>衢州学院大型仪器设备管理办法</w:t>
      </w:r>
      <w:bookmarkEnd w:id="99"/>
      <w:bookmarkEnd w:id="100"/>
      <w:bookmarkEnd w:id="101"/>
      <w:bookmarkEnd w:id="102"/>
      <w:bookmarkEnd w:id="103"/>
      <w:bookmarkEnd w:id="104"/>
      <w:bookmarkEnd w:id="105"/>
    </w:p>
    <w:bookmarkEnd w:id="106"/>
    <w:bookmarkEnd w:id="107"/>
    <w:bookmarkEnd w:id="108"/>
    <w:p>
      <w:pPr>
        <w:numPr>
          <w:ilvl w:val="0"/>
          <w:numId w:val="21"/>
        </w:numPr>
        <w:spacing w:line="470" w:lineRule="exact"/>
        <w:jc w:val="center"/>
        <w:rPr>
          <w:rFonts w:ascii="黑体" w:hAnsi="黑体" w:eastAsia="黑体" w:cs="黑体"/>
          <w:sz w:val="32"/>
          <w:szCs w:val="32"/>
        </w:rPr>
      </w:pPr>
      <w:r>
        <w:rPr>
          <w:rFonts w:hint="eastAsia" w:ascii="黑体" w:hAnsi="黑体" w:eastAsia="黑体" w:cs="黑体"/>
          <w:sz w:val="32"/>
          <w:szCs w:val="32"/>
        </w:rPr>
        <w:t xml:space="preserve"> 总则</w:t>
      </w:r>
    </w:p>
    <w:p>
      <w:pPr>
        <w:spacing w:line="470" w:lineRule="exact"/>
        <w:ind w:firstLine="472" w:firstLineChars="196"/>
        <w:rPr>
          <w:rFonts w:ascii="宋体" w:hAnsi="宋体"/>
          <w:sz w:val="24"/>
          <w:szCs w:val="24"/>
        </w:rPr>
      </w:pPr>
      <w:r>
        <w:rPr>
          <w:rFonts w:hint="eastAsia" w:ascii="宋体" w:hAnsi="宋体"/>
          <w:b/>
          <w:bCs/>
          <w:sz w:val="24"/>
          <w:szCs w:val="24"/>
        </w:rPr>
        <w:t>第一条</w:t>
      </w:r>
      <w:r>
        <w:rPr>
          <w:rFonts w:hint="eastAsia" w:ascii="宋体" w:hAnsi="宋体"/>
          <w:sz w:val="24"/>
          <w:szCs w:val="24"/>
        </w:rPr>
        <w:t xml:space="preserve"> 为加强我校大型仪器设备的管理，充分发挥其投资效益，根据《高等学校仪器设备管理办法》和《衢州学院仪器设备管理办法》等有关规定，结合学校实际，制定本办法。</w:t>
      </w:r>
    </w:p>
    <w:p>
      <w:pPr>
        <w:spacing w:line="470" w:lineRule="exact"/>
        <w:ind w:firstLine="472" w:firstLineChars="196"/>
        <w:rPr>
          <w:rFonts w:ascii="宋体" w:hAnsi="宋体"/>
          <w:sz w:val="24"/>
          <w:szCs w:val="24"/>
        </w:rPr>
      </w:pPr>
      <w:r>
        <w:rPr>
          <w:rFonts w:hint="eastAsia" w:ascii="宋体" w:hAnsi="宋体"/>
          <w:b/>
          <w:bCs/>
          <w:sz w:val="24"/>
          <w:szCs w:val="24"/>
        </w:rPr>
        <w:t>第二条</w:t>
      </w:r>
      <w:r>
        <w:rPr>
          <w:rFonts w:hint="eastAsia" w:ascii="宋体" w:hAnsi="宋体"/>
          <w:sz w:val="24"/>
          <w:szCs w:val="24"/>
        </w:rPr>
        <w:t xml:space="preserve"> 大型仪器设备的管理目标：充分发挥仪器设备的投资效益，进行专管共用、资源共享，保证学校教学、科研的需要，同时积极开展对外有偿服务。</w:t>
      </w:r>
    </w:p>
    <w:p>
      <w:pPr>
        <w:spacing w:line="470" w:lineRule="exact"/>
        <w:ind w:firstLine="472" w:firstLineChars="196"/>
        <w:rPr>
          <w:rFonts w:ascii="宋体" w:hAnsi="宋体"/>
          <w:sz w:val="24"/>
          <w:szCs w:val="24"/>
        </w:rPr>
      </w:pPr>
      <w:r>
        <w:rPr>
          <w:rFonts w:hint="eastAsia" w:ascii="宋体" w:hAnsi="宋体"/>
          <w:b/>
          <w:bCs/>
          <w:sz w:val="24"/>
          <w:szCs w:val="24"/>
        </w:rPr>
        <w:t>第三条</w:t>
      </w:r>
      <w:r>
        <w:rPr>
          <w:rFonts w:hint="eastAsia" w:ascii="宋体" w:hAnsi="宋体"/>
          <w:sz w:val="24"/>
          <w:szCs w:val="24"/>
        </w:rPr>
        <w:t xml:space="preserve"> 学校大型仪器设备指:</w:t>
      </w:r>
    </w:p>
    <w:p>
      <w:pPr>
        <w:spacing w:line="470" w:lineRule="exact"/>
        <w:ind w:firstLine="480" w:firstLineChars="200"/>
        <w:rPr>
          <w:rFonts w:ascii="宋体" w:hAnsi="宋体"/>
          <w:sz w:val="24"/>
          <w:szCs w:val="24"/>
        </w:rPr>
      </w:pPr>
      <w:r>
        <w:rPr>
          <w:rFonts w:hint="eastAsia" w:ascii="宋体" w:hAnsi="宋体"/>
          <w:sz w:val="24"/>
          <w:szCs w:val="24"/>
        </w:rPr>
        <w:t>（一）单价在10万元以上（含10万元）的仪器设备；单台（件）价格不足10万元，但属于成套使用，且整套价格达到或超过10万元的仪器设备；</w:t>
      </w:r>
    </w:p>
    <w:p>
      <w:pPr>
        <w:spacing w:line="470" w:lineRule="exact"/>
        <w:ind w:firstLine="480" w:firstLineChars="200"/>
        <w:rPr>
          <w:rFonts w:ascii="宋体" w:hAnsi="宋体"/>
          <w:sz w:val="24"/>
          <w:szCs w:val="24"/>
        </w:rPr>
      </w:pPr>
      <w:r>
        <w:rPr>
          <w:rFonts w:hint="eastAsia" w:ascii="宋体" w:hAnsi="宋体"/>
          <w:sz w:val="24"/>
          <w:szCs w:val="24"/>
        </w:rPr>
        <w:t>（二）单价不足10万元，但属于从国外引进的作为二级以上（含二级）计量、校验标准使用的仪器设备；</w:t>
      </w:r>
    </w:p>
    <w:p>
      <w:pPr>
        <w:spacing w:line="470" w:lineRule="exact"/>
        <w:ind w:firstLine="480" w:firstLineChars="200"/>
        <w:rPr>
          <w:rFonts w:ascii="宋体" w:hAnsi="宋体"/>
          <w:sz w:val="24"/>
          <w:szCs w:val="24"/>
        </w:rPr>
      </w:pPr>
      <w:r>
        <w:rPr>
          <w:rFonts w:hint="eastAsia" w:ascii="宋体" w:hAnsi="宋体"/>
          <w:sz w:val="24"/>
          <w:szCs w:val="24"/>
        </w:rPr>
        <w:t>（三）单价不足10万元，但属于国家教育部明确规定为贵重、稀缺的仪器设备；</w:t>
      </w:r>
    </w:p>
    <w:p>
      <w:pPr>
        <w:spacing w:line="470" w:lineRule="exact"/>
        <w:ind w:firstLine="480" w:firstLineChars="200"/>
        <w:rPr>
          <w:rFonts w:ascii="宋体" w:hAnsi="宋体"/>
          <w:sz w:val="24"/>
          <w:szCs w:val="24"/>
        </w:rPr>
      </w:pPr>
      <w:r>
        <w:rPr>
          <w:rFonts w:hint="eastAsia" w:ascii="宋体" w:hAnsi="宋体"/>
          <w:sz w:val="24"/>
          <w:szCs w:val="24"/>
        </w:rPr>
        <w:t>（四）单价超过10万元（含10万元）的软件。</w:t>
      </w:r>
    </w:p>
    <w:p>
      <w:pPr>
        <w:spacing w:line="470" w:lineRule="exact"/>
        <w:ind w:firstLine="472" w:firstLineChars="196"/>
        <w:rPr>
          <w:rFonts w:ascii="宋体" w:hAnsi="宋体"/>
          <w:sz w:val="24"/>
          <w:szCs w:val="24"/>
        </w:rPr>
      </w:pPr>
      <w:r>
        <w:rPr>
          <w:rFonts w:hint="eastAsia" w:ascii="宋体" w:hAnsi="宋体"/>
          <w:b/>
          <w:bCs/>
          <w:sz w:val="24"/>
          <w:szCs w:val="24"/>
        </w:rPr>
        <w:t>第四条</w:t>
      </w:r>
      <w:r>
        <w:rPr>
          <w:rFonts w:hint="eastAsia" w:ascii="宋体" w:hAnsi="宋体"/>
          <w:sz w:val="24"/>
          <w:szCs w:val="24"/>
        </w:rPr>
        <w:t xml:space="preserve"> 学校教学、科研用大型仪器设备，需配备高、中、低层次结构合理的专业技术人员进行管理和使用。人员要相对稳定，工作调动时要做好对接替人员的培训工作和相关的交接工作。</w:t>
      </w:r>
    </w:p>
    <w:p>
      <w:pPr>
        <w:numPr>
          <w:ilvl w:val="0"/>
          <w:numId w:val="22"/>
        </w:numPr>
        <w:spacing w:line="470" w:lineRule="exact"/>
        <w:jc w:val="center"/>
        <w:rPr>
          <w:rFonts w:ascii="黑体" w:hAnsi="黑体" w:eastAsia="黑体" w:cs="黑体"/>
          <w:sz w:val="32"/>
          <w:szCs w:val="32"/>
        </w:rPr>
      </w:pPr>
      <w:r>
        <w:rPr>
          <w:rFonts w:hint="eastAsia" w:ascii="黑体" w:hAnsi="黑体" w:eastAsia="黑体" w:cs="黑体"/>
          <w:sz w:val="32"/>
          <w:szCs w:val="32"/>
        </w:rPr>
        <w:t xml:space="preserve"> 大型仪器设备的计划与购置</w:t>
      </w:r>
    </w:p>
    <w:p>
      <w:pPr>
        <w:spacing w:line="470" w:lineRule="exact"/>
        <w:ind w:firstLine="472" w:firstLineChars="196"/>
        <w:rPr>
          <w:rFonts w:ascii="宋体" w:hAnsi="宋体"/>
          <w:sz w:val="24"/>
          <w:szCs w:val="24"/>
        </w:rPr>
      </w:pPr>
      <w:r>
        <w:rPr>
          <w:rFonts w:hint="eastAsia" w:ascii="宋体" w:hAnsi="宋体"/>
          <w:b/>
          <w:bCs/>
          <w:sz w:val="24"/>
          <w:szCs w:val="24"/>
        </w:rPr>
        <w:t>第五条</w:t>
      </w:r>
      <w:r>
        <w:rPr>
          <w:rFonts w:hint="eastAsia" w:ascii="宋体" w:hAnsi="宋体"/>
          <w:sz w:val="24"/>
          <w:szCs w:val="24"/>
        </w:rPr>
        <w:t xml:space="preserve"> 学校根据专业和学科发展规划，合理购置大型仪器设备。购置大型仪器设备的程序为：</w:t>
      </w:r>
    </w:p>
    <w:p>
      <w:pPr>
        <w:spacing w:line="470" w:lineRule="exact"/>
        <w:ind w:firstLine="480" w:firstLineChars="200"/>
        <w:rPr>
          <w:rFonts w:ascii="宋体" w:hAnsi="宋体"/>
          <w:sz w:val="24"/>
          <w:szCs w:val="24"/>
        </w:rPr>
      </w:pPr>
      <w:r>
        <w:rPr>
          <w:rFonts w:hint="eastAsia" w:ascii="宋体" w:hAnsi="宋体"/>
          <w:sz w:val="24"/>
          <w:szCs w:val="24"/>
        </w:rPr>
        <w:t>（一）申购单位在每年申报仪器设备时，应填写《衢州学院仪器设备申报表》和《大型仪器设备可行性论证报告》，申购单位要组织专家组（3-5人）对大型仪器设备进行可行性论证。</w:t>
      </w:r>
    </w:p>
    <w:p>
      <w:pPr>
        <w:spacing w:line="470" w:lineRule="exact"/>
        <w:ind w:firstLine="480" w:firstLineChars="200"/>
        <w:rPr>
          <w:rFonts w:ascii="宋体" w:hAnsi="宋体"/>
          <w:sz w:val="24"/>
          <w:szCs w:val="24"/>
        </w:rPr>
      </w:pPr>
      <w:r>
        <w:rPr>
          <w:rFonts w:hint="eastAsia" w:ascii="宋体" w:hAnsi="宋体"/>
          <w:sz w:val="24"/>
          <w:szCs w:val="24"/>
        </w:rPr>
        <w:t>（二）50万元（含）以上的大型仪器设备，在学院（中心）论证的基础上，实验室与设备管理处组织校内外专家进行进一步的论证。论证内容：</w:t>
      </w:r>
    </w:p>
    <w:p>
      <w:pPr>
        <w:spacing w:line="470" w:lineRule="exact"/>
        <w:ind w:firstLine="480" w:firstLineChars="200"/>
        <w:rPr>
          <w:rFonts w:ascii="宋体" w:hAnsi="宋体"/>
          <w:sz w:val="24"/>
          <w:szCs w:val="24"/>
        </w:rPr>
      </w:pPr>
      <w:r>
        <w:rPr>
          <w:rFonts w:hint="eastAsia" w:ascii="宋体" w:hAnsi="宋体"/>
          <w:sz w:val="24"/>
          <w:szCs w:val="24"/>
        </w:rPr>
        <w:t>1.根据学科专业的发展方向和目前工作的情况，说明欲购置该仪器设备的意义和必要性；</w:t>
      </w:r>
    </w:p>
    <w:p>
      <w:pPr>
        <w:spacing w:line="470" w:lineRule="exact"/>
        <w:ind w:firstLine="480" w:firstLineChars="200"/>
        <w:rPr>
          <w:rFonts w:ascii="宋体" w:hAnsi="宋体"/>
          <w:sz w:val="24"/>
          <w:szCs w:val="24"/>
        </w:rPr>
      </w:pPr>
      <w:r>
        <w:rPr>
          <w:rFonts w:hint="eastAsia" w:ascii="宋体" w:hAnsi="宋体"/>
          <w:sz w:val="24"/>
          <w:szCs w:val="24"/>
        </w:rPr>
        <w:t>2.所购仪器设备的先进性和适用性，包括仪器设备适用范围，所选品牌、档次、规格、性能、价格及技术指标等；</w:t>
      </w:r>
    </w:p>
    <w:p>
      <w:pPr>
        <w:spacing w:line="470" w:lineRule="exact"/>
        <w:ind w:firstLine="480" w:firstLineChars="200"/>
        <w:rPr>
          <w:rFonts w:ascii="宋体" w:hAnsi="宋体"/>
          <w:sz w:val="24"/>
          <w:szCs w:val="24"/>
        </w:rPr>
      </w:pPr>
      <w:r>
        <w:rPr>
          <w:rFonts w:hint="eastAsia" w:ascii="宋体" w:hAnsi="宋体"/>
          <w:sz w:val="24"/>
          <w:szCs w:val="24"/>
        </w:rPr>
        <w:t>3.仪器设备技术人员和管理人员的配备情况；</w:t>
      </w:r>
    </w:p>
    <w:p>
      <w:pPr>
        <w:spacing w:line="470" w:lineRule="exact"/>
        <w:ind w:firstLine="480" w:firstLineChars="200"/>
        <w:rPr>
          <w:rFonts w:ascii="宋体" w:hAnsi="宋体"/>
          <w:sz w:val="24"/>
          <w:szCs w:val="24"/>
        </w:rPr>
      </w:pPr>
      <w:r>
        <w:rPr>
          <w:rFonts w:hint="eastAsia" w:ascii="宋体" w:hAnsi="宋体"/>
          <w:sz w:val="24"/>
          <w:szCs w:val="24"/>
        </w:rPr>
        <w:t>4.安装场地、使用环境及各项辅助设备的具备程度；</w:t>
      </w:r>
    </w:p>
    <w:p>
      <w:pPr>
        <w:spacing w:line="470" w:lineRule="exact"/>
        <w:ind w:firstLine="480" w:firstLineChars="200"/>
        <w:rPr>
          <w:rFonts w:ascii="宋体" w:hAnsi="宋体"/>
          <w:sz w:val="24"/>
          <w:szCs w:val="24"/>
        </w:rPr>
      </w:pPr>
      <w:r>
        <w:rPr>
          <w:rFonts w:hint="eastAsia" w:ascii="宋体" w:hAnsi="宋体"/>
          <w:sz w:val="24"/>
          <w:szCs w:val="24"/>
        </w:rPr>
        <w:t>5.校内、外共用方案；</w:t>
      </w:r>
    </w:p>
    <w:p>
      <w:pPr>
        <w:spacing w:line="470" w:lineRule="exact"/>
        <w:ind w:firstLine="480" w:firstLineChars="200"/>
        <w:rPr>
          <w:rFonts w:ascii="宋体" w:hAnsi="宋体"/>
          <w:sz w:val="24"/>
          <w:szCs w:val="24"/>
        </w:rPr>
      </w:pPr>
      <w:r>
        <w:rPr>
          <w:rFonts w:hint="eastAsia" w:ascii="宋体" w:hAnsi="宋体"/>
          <w:sz w:val="24"/>
          <w:szCs w:val="24"/>
        </w:rPr>
        <w:t>6.使用效益预测及风险分析。</w:t>
      </w:r>
    </w:p>
    <w:p>
      <w:pPr>
        <w:spacing w:line="470" w:lineRule="exact"/>
        <w:ind w:firstLine="472" w:firstLineChars="196"/>
        <w:rPr>
          <w:rFonts w:ascii="宋体" w:hAnsi="宋体"/>
          <w:sz w:val="24"/>
          <w:szCs w:val="24"/>
        </w:rPr>
      </w:pPr>
      <w:r>
        <w:rPr>
          <w:rFonts w:hint="eastAsia" w:ascii="宋体" w:hAnsi="宋体"/>
          <w:b/>
          <w:bCs/>
          <w:sz w:val="24"/>
          <w:szCs w:val="24"/>
        </w:rPr>
        <w:t>第六条</w:t>
      </w:r>
      <w:r>
        <w:rPr>
          <w:rFonts w:hint="eastAsia" w:ascii="宋体" w:hAnsi="宋体"/>
          <w:sz w:val="24"/>
          <w:szCs w:val="24"/>
        </w:rPr>
        <w:t xml:space="preserve"> 大型仪器设备必须列入学校预算计划或经校长办公会议审批后，才可以按有关规定进行报批和采购。</w:t>
      </w:r>
    </w:p>
    <w:p>
      <w:pPr>
        <w:spacing w:line="470" w:lineRule="exact"/>
        <w:ind w:firstLine="472" w:firstLineChars="196"/>
        <w:rPr>
          <w:rFonts w:ascii="宋体" w:hAnsi="宋体"/>
          <w:sz w:val="24"/>
          <w:szCs w:val="24"/>
        </w:rPr>
      </w:pPr>
      <w:r>
        <w:rPr>
          <w:rFonts w:hint="eastAsia" w:ascii="宋体" w:hAnsi="宋体"/>
          <w:b/>
          <w:bCs/>
          <w:sz w:val="24"/>
          <w:szCs w:val="24"/>
        </w:rPr>
        <w:t>第七条</w:t>
      </w:r>
      <w:r>
        <w:rPr>
          <w:rFonts w:hint="eastAsia" w:ascii="宋体" w:hAnsi="宋体"/>
          <w:sz w:val="24"/>
          <w:szCs w:val="24"/>
        </w:rPr>
        <w:t xml:space="preserve"> 建立大型仪器设备购置监督机制，实施公开招标等方式，在节约学校经费的同时确保所购仪器设备的质量。</w:t>
      </w:r>
    </w:p>
    <w:p>
      <w:pPr>
        <w:spacing w:line="470" w:lineRule="exact"/>
        <w:ind w:firstLine="472" w:firstLineChars="196"/>
        <w:rPr>
          <w:rFonts w:ascii="宋体" w:hAnsi="宋体"/>
          <w:sz w:val="24"/>
          <w:szCs w:val="24"/>
        </w:rPr>
      </w:pPr>
      <w:r>
        <w:rPr>
          <w:rFonts w:hint="eastAsia" w:ascii="宋体" w:hAnsi="宋体"/>
          <w:b/>
          <w:bCs/>
          <w:sz w:val="24"/>
          <w:szCs w:val="24"/>
        </w:rPr>
        <w:t>第八条</w:t>
      </w:r>
      <w:r>
        <w:rPr>
          <w:rFonts w:hint="eastAsia" w:ascii="宋体" w:hAnsi="宋体"/>
          <w:sz w:val="24"/>
          <w:szCs w:val="24"/>
        </w:rPr>
        <w:t xml:space="preserve"> 购置仪器设备，要选择仪器设备安装、调试、验收、索赔、保修职责明确，服务完善，并能随时提供零配件的公司或厂家，保证所购仪器设备符合规定的技术指标，并在验收合格后，能在可用期内正常运转。</w:t>
      </w:r>
    </w:p>
    <w:p>
      <w:pPr>
        <w:numPr>
          <w:ilvl w:val="0"/>
          <w:numId w:val="23"/>
        </w:numPr>
        <w:spacing w:line="470" w:lineRule="exact"/>
        <w:ind w:firstLine="435"/>
        <w:jc w:val="center"/>
        <w:rPr>
          <w:rFonts w:ascii="黑体" w:hAnsi="黑体" w:eastAsia="黑体" w:cs="黑体"/>
          <w:sz w:val="32"/>
          <w:szCs w:val="32"/>
        </w:rPr>
      </w:pPr>
      <w:r>
        <w:rPr>
          <w:rFonts w:hint="eastAsia" w:ascii="黑体" w:hAnsi="黑体" w:eastAsia="黑体" w:cs="黑体"/>
          <w:sz w:val="32"/>
          <w:szCs w:val="32"/>
        </w:rPr>
        <w:t xml:space="preserve"> 大型仪器设备的使用和管理</w:t>
      </w:r>
    </w:p>
    <w:p>
      <w:pPr>
        <w:spacing w:line="470" w:lineRule="exact"/>
        <w:ind w:firstLine="472" w:firstLineChars="196"/>
        <w:rPr>
          <w:rFonts w:ascii="宋体" w:hAnsi="宋体"/>
          <w:sz w:val="24"/>
          <w:szCs w:val="24"/>
        </w:rPr>
      </w:pPr>
      <w:r>
        <w:rPr>
          <w:rFonts w:hint="eastAsia" w:ascii="宋体" w:hAnsi="宋体"/>
          <w:b/>
          <w:bCs/>
          <w:sz w:val="24"/>
          <w:szCs w:val="24"/>
        </w:rPr>
        <w:t>第九条</w:t>
      </w:r>
      <w:r>
        <w:rPr>
          <w:rFonts w:hint="eastAsia" w:ascii="宋体" w:hAnsi="宋体"/>
          <w:sz w:val="24"/>
          <w:szCs w:val="24"/>
        </w:rPr>
        <w:t xml:space="preserve"> 不同仪器设备要配备相应的经过培训、考核合格的专业技术人员，要建立工作人员岗位责任制度。</w:t>
      </w:r>
    </w:p>
    <w:p>
      <w:pPr>
        <w:spacing w:line="470" w:lineRule="exact"/>
        <w:ind w:firstLine="472" w:firstLineChars="196"/>
        <w:rPr>
          <w:rFonts w:ascii="宋体" w:hAnsi="宋体"/>
          <w:sz w:val="24"/>
          <w:szCs w:val="24"/>
        </w:rPr>
      </w:pPr>
      <w:r>
        <w:rPr>
          <w:rFonts w:hint="eastAsia" w:ascii="宋体" w:hAnsi="宋体"/>
          <w:b/>
          <w:bCs/>
          <w:sz w:val="24"/>
          <w:szCs w:val="24"/>
        </w:rPr>
        <w:t>第十条</w:t>
      </w:r>
      <w:r>
        <w:rPr>
          <w:rFonts w:hint="eastAsia" w:ascii="宋体" w:hAnsi="宋体"/>
          <w:sz w:val="24"/>
          <w:szCs w:val="24"/>
        </w:rPr>
        <w:t xml:space="preserve"> 大型仪器设备要逐台建立使用运行、维护管理制度。每台仪器均需建立专门的操作记录，按日期记载仪器设备操作时数、操作人数和工作内容，由管理人员和使用人员共同签字认可。</w:t>
      </w:r>
    </w:p>
    <w:p>
      <w:pPr>
        <w:spacing w:line="470" w:lineRule="exact"/>
        <w:ind w:firstLine="472" w:firstLineChars="196"/>
        <w:rPr>
          <w:rFonts w:ascii="宋体" w:hAnsi="宋体"/>
          <w:sz w:val="24"/>
          <w:szCs w:val="24"/>
        </w:rPr>
      </w:pPr>
      <w:r>
        <w:rPr>
          <w:rFonts w:hint="eastAsia" w:ascii="宋体" w:hAnsi="宋体"/>
          <w:b/>
          <w:bCs/>
          <w:sz w:val="24"/>
          <w:szCs w:val="24"/>
        </w:rPr>
        <w:t>第十一条</w:t>
      </w:r>
      <w:r>
        <w:rPr>
          <w:rFonts w:hint="eastAsia" w:ascii="宋体" w:hAnsi="宋体"/>
          <w:sz w:val="24"/>
          <w:szCs w:val="24"/>
        </w:rPr>
        <w:t xml:space="preserve"> 大型仪器设备要逐台建立技术档案，档案的内容包括产品出厂的技术资料，从可行性论证、购置、验收调试、运行使用、停机、维护、直到报废，整个寿命周期的记录和原始资料，并及时存入学校档案部门统一归档。需要经常使用的资料要在档案室办理借阅手续，要加快技术资料的流通利用。</w:t>
      </w:r>
    </w:p>
    <w:p>
      <w:pPr>
        <w:spacing w:line="470" w:lineRule="exact"/>
        <w:ind w:firstLine="472" w:firstLineChars="196"/>
        <w:rPr>
          <w:rFonts w:ascii="宋体" w:hAnsi="宋体"/>
          <w:sz w:val="24"/>
          <w:szCs w:val="24"/>
        </w:rPr>
      </w:pPr>
      <w:r>
        <w:rPr>
          <w:rFonts w:hint="eastAsia" w:ascii="宋体" w:hAnsi="宋体"/>
          <w:b/>
          <w:bCs/>
          <w:sz w:val="24"/>
          <w:szCs w:val="24"/>
        </w:rPr>
        <w:t>第十二条</w:t>
      </w:r>
      <w:r>
        <w:rPr>
          <w:rFonts w:hint="eastAsia" w:ascii="宋体" w:hAnsi="宋体"/>
          <w:sz w:val="24"/>
          <w:szCs w:val="24"/>
        </w:rPr>
        <w:t xml:space="preserve"> 要加强技术管理，确保大型仪器设备的完好率。按照国家技术监督局的有关规定，定期对仪器设备的性能、指标进行核检和标定，对精度和性能降低的要及时进行修复。</w:t>
      </w:r>
    </w:p>
    <w:p>
      <w:pPr>
        <w:spacing w:line="470" w:lineRule="exact"/>
        <w:ind w:firstLine="472" w:firstLineChars="196"/>
        <w:rPr>
          <w:rFonts w:ascii="宋体" w:hAnsi="宋体"/>
          <w:sz w:val="24"/>
          <w:szCs w:val="24"/>
        </w:rPr>
      </w:pPr>
      <w:r>
        <w:rPr>
          <w:rFonts w:hint="eastAsia" w:ascii="宋体" w:hAnsi="宋体"/>
          <w:b/>
          <w:bCs/>
          <w:sz w:val="24"/>
          <w:szCs w:val="24"/>
        </w:rPr>
        <w:t>第十三条</w:t>
      </w:r>
      <w:r>
        <w:rPr>
          <w:rFonts w:hint="eastAsia" w:ascii="宋体" w:hAnsi="宋体"/>
          <w:sz w:val="24"/>
          <w:szCs w:val="24"/>
        </w:rPr>
        <w:t xml:space="preserve"> 大型仪器设备原则上不准拆改和分解使用。确因功能开发、改造升级或研制新产品需拆改和分解时，应经实验室与设备管理处和分管校领导批准。</w:t>
      </w:r>
    </w:p>
    <w:p>
      <w:pPr>
        <w:numPr>
          <w:ilvl w:val="0"/>
          <w:numId w:val="23"/>
        </w:numPr>
        <w:spacing w:line="470" w:lineRule="exact"/>
        <w:ind w:firstLine="435"/>
        <w:jc w:val="center"/>
        <w:rPr>
          <w:rFonts w:ascii="黑体" w:hAnsi="黑体" w:eastAsia="黑体" w:cs="黑体"/>
          <w:sz w:val="32"/>
          <w:szCs w:val="32"/>
        </w:rPr>
      </w:pPr>
      <w:r>
        <w:rPr>
          <w:rFonts w:hint="eastAsia" w:ascii="黑体" w:hAnsi="黑体" w:eastAsia="黑体" w:cs="黑体"/>
          <w:sz w:val="32"/>
          <w:szCs w:val="32"/>
        </w:rPr>
        <w:t xml:space="preserve"> 大型仪器设备的报损和报废</w:t>
      </w:r>
    </w:p>
    <w:p>
      <w:pPr>
        <w:spacing w:line="470" w:lineRule="exact"/>
        <w:ind w:firstLine="472" w:firstLineChars="196"/>
        <w:rPr>
          <w:rFonts w:ascii="宋体" w:hAnsi="宋体"/>
          <w:sz w:val="24"/>
          <w:szCs w:val="24"/>
        </w:rPr>
      </w:pPr>
      <w:r>
        <w:rPr>
          <w:rFonts w:hint="eastAsia" w:ascii="宋体" w:hAnsi="宋体"/>
          <w:b/>
          <w:bCs/>
          <w:sz w:val="24"/>
          <w:szCs w:val="24"/>
        </w:rPr>
        <w:t>第十四条</w:t>
      </w:r>
      <w:r>
        <w:rPr>
          <w:rFonts w:hint="eastAsia" w:ascii="宋体" w:hAnsi="宋体"/>
          <w:sz w:val="24"/>
          <w:szCs w:val="24"/>
        </w:rPr>
        <w:t xml:space="preserve"> 因使用年限已到、技术参数难以达标、维修费用过高确需报废的仪器设备，要根据《行政事业单位国有资产处置管理实施办法》的有关规定办理报损报废手续。</w:t>
      </w:r>
    </w:p>
    <w:p>
      <w:pPr>
        <w:spacing w:line="470" w:lineRule="exact"/>
        <w:ind w:firstLine="472" w:firstLineChars="196"/>
        <w:rPr>
          <w:rFonts w:ascii="宋体" w:hAnsi="宋体"/>
          <w:sz w:val="24"/>
          <w:szCs w:val="24"/>
        </w:rPr>
      </w:pPr>
      <w:r>
        <w:rPr>
          <w:rFonts w:hint="eastAsia" w:ascii="宋体" w:hAnsi="宋体"/>
          <w:b/>
          <w:bCs/>
          <w:sz w:val="24"/>
          <w:szCs w:val="24"/>
        </w:rPr>
        <w:t>第十五条</w:t>
      </w:r>
      <w:r>
        <w:rPr>
          <w:rFonts w:hint="eastAsia" w:ascii="宋体" w:hAnsi="宋体"/>
          <w:sz w:val="24"/>
          <w:szCs w:val="24"/>
        </w:rPr>
        <w:t xml:space="preserve"> 报废大型仪器设备的变价收入，应根据《高等学校财务制度》的有关规定，纳入学校年度设备经费。</w:t>
      </w:r>
    </w:p>
    <w:p>
      <w:pPr>
        <w:numPr>
          <w:ilvl w:val="0"/>
          <w:numId w:val="23"/>
        </w:numPr>
        <w:spacing w:line="470" w:lineRule="exact"/>
        <w:ind w:firstLine="435"/>
        <w:jc w:val="center"/>
        <w:rPr>
          <w:rFonts w:ascii="黑体" w:hAnsi="黑体" w:eastAsia="黑体" w:cs="黑体"/>
          <w:sz w:val="32"/>
          <w:szCs w:val="32"/>
        </w:rPr>
      </w:pPr>
      <w:r>
        <w:rPr>
          <w:rFonts w:hint="eastAsia" w:ascii="黑体" w:hAnsi="黑体" w:eastAsia="黑体" w:cs="黑体"/>
          <w:sz w:val="32"/>
          <w:szCs w:val="32"/>
        </w:rPr>
        <w:t xml:space="preserve"> 大型仪器设备管理的考核与奖惩</w:t>
      </w:r>
    </w:p>
    <w:p>
      <w:pPr>
        <w:spacing w:line="470" w:lineRule="exact"/>
        <w:ind w:firstLine="472" w:firstLineChars="196"/>
        <w:rPr>
          <w:rFonts w:ascii="宋体" w:hAnsi="宋体"/>
          <w:sz w:val="24"/>
          <w:szCs w:val="24"/>
        </w:rPr>
      </w:pPr>
      <w:r>
        <w:rPr>
          <w:rFonts w:hint="eastAsia" w:ascii="宋体" w:hAnsi="宋体"/>
          <w:b/>
          <w:bCs/>
          <w:sz w:val="24"/>
          <w:szCs w:val="24"/>
        </w:rPr>
        <w:t>第十六条</w:t>
      </w:r>
      <w:r>
        <w:rPr>
          <w:rFonts w:hint="eastAsia" w:ascii="宋体" w:hAnsi="宋体"/>
          <w:sz w:val="24"/>
          <w:szCs w:val="24"/>
        </w:rPr>
        <w:t xml:space="preserve"> 大型仪器设备的使用和管理要实行考核制度，通过考核促使专职使用和管理人员努力完成岗位职责，不断提高工作水平。</w:t>
      </w:r>
    </w:p>
    <w:p>
      <w:pPr>
        <w:spacing w:line="470" w:lineRule="exact"/>
        <w:ind w:firstLine="472" w:firstLineChars="196"/>
        <w:rPr>
          <w:rFonts w:ascii="宋体" w:hAnsi="宋体"/>
          <w:sz w:val="24"/>
          <w:szCs w:val="24"/>
        </w:rPr>
      </w:pPr>
      <w:r>
        <w:rPr>
          <w:rFonts w:hint="eastAsia" w:ascii="宋体" w:hAnsi="宋体"/>
          <w:b/>
          <w:bCs/>
          <w:sz w:val="24"/>
          <w:szCs w:val="24"/>
        </w:rPr>
        <w:t>第十七条</w:t>
      </w:r>
      <w:r>
        <w:rPr>
          <w:rFonts w:hint="eastAsia" w:ascii="宋体" w:hAnsi="宋体"/>
          <w:sz w:val="24"/>
          <w:szCs w:val="24"/>
        </w:rPr>
        <w:t xml:space="preserve"> 大型仪器设备使用、管理考核工作实行分级考核的办法。年度末先由学院（中心）按照《高等学校大型仪器设备效益年度评价表》进行考核，然后由实验室与设备管理处汇总后进行综合考核评比。</w:t>
      </w:r>
    </w:p>
    <w:p>
      <w:pPr>
        <w:spacing w:line="470" w:lineRule="exact"/>
        <w:ind w:firstLine="472" w:firstLineChars="196"/>
        <w:rPr>
          <w:rFonts w:ascii="宋体" w:hAnsi="宋体"/>
          <w:sz w:val="24"/>
          <w:szCs w:val="24"/>
        </w:rPr>
      </w:pPr>
      <w:r>
        <w:rPr>
          <w:rFonts w:hint="eastAsia" w:ascii="宋体" w:hAnsi="宋体"/>
          <w:b/>
          <w:bCs/>
          <w:sz w:val="24"/>
          <w:szCs w:val="24"/>
        </w:rPr>
        <w:t>第十八条</w:t>
      </w:r>
      <w:r>
        <w:rPr>
          <w:rFonts w:hint="eastAsia" w:ascii="宋体" w:hAnsi="宋体"/>
          <w:sz w:val="24"/>
          <w:szCs w:val="24"/>
        </w:rPr>
        <w:t xml:space="preserve"> 大型仪器设备的使用、管理实行奖惩制度。对在使用管理、维护维修、技术开发、协作共用、人员培训、社会服务等方面成绩显著的集体或个人，予以精神和物质奖励；对于在上述各项工作中失职或因责任事故造成损失的，分析原因后追究当事人和管理负责人的责任，并根据经济损失的程度和责任，按《衢州学院仪器设备损坏、丢失赔偿办法》处理。</w:t>
      </w:r>
    </w:p>
    <w:p>
      <w:pPr>
        <w:numPr>
          <w:ilvl w:val="0"/>
          <w:numId w:val="23"/>
        </w:numPr>
        <w:spacing w:line="470" w:lineRule="exact"/>
        <w:ind w:firstLine="435"/>
        <w:jc w:val="center"/>
        <w:rPr>
          <w:rFonts w:ascii="黑体" w:hAnsi="黑体" w:eastAsia="黑体" w:cs="黑体"/>
          <w:sz w:val="32"/>
          <w:szCs w:val="32"/>
        </w:rPr>
      </w:pPr>
      <w:r>
        <w:rPr>
          <w:rFonts w:hint="eastAsia" w:ascii="黑体" w:hAnsi="黑体" w:eastAsia="黑体" w:cs="黑体"/>
          <w:sz w:val="32"/>
          <w:szCs w:val="32"/>
        </w:rPr>
        <w:t>附则</w:t>
      </w:r>
    </w:p>
    <w:p>
      <w:pPr>
        <w:spacing w:line="470" w:lineRule="exact"/>
        <w:ind w:firstLine="472" w:firstLineChars="196"/>
        <w:rPr>
          <w:rFonts w:ascii="宋体" w:hAnsi="宋体"/>
          <w:sz w:val="24"/>
          <w:szCs w:val="24"/>
        </w:rPr>
      </w:pPr>
      <w:r>
        <w:rPr>
          <w:rFonts w:hint="eastAsia" w:ascii="宋体" w:hAnsi="宋体"/>
          <w:b/>
          <w:bCs/>
          <w:sz w:val="24"/>
          <w:szCs w:val="24"/>
        </w:rPr>
        <w:t>第十九条</w:t>
      </w:r>
      <w:r>
        <w:rPr>
          <w:rFonts w:hint="eastAsia" w:ascii="宋体" w:hAnsi="宋体"/>
          <w:sz w:val="24"/>
          <w:szCs w:val="24"/>
        </w:rPr>
        <w:t xml:space="preserve"> 本办法自颁布之日起执行，由实验室与设备管理处负责解释。</w:t>
      </w:r>
      <w:bookmarkStart w:id="109" w:name="_Toc20908"/>
      <w:bookmarkStart w:id="110" w:name="_Toc21110"/>
      <w:bookmarkStart w:id="111" w:name="_Toc3776"/>
      <w:bookmarkStart w:id="112" w:name="_Toc8646"/>
    </w:p>
    <w:p>
      <w:pPr>
        <w:widowControl/>
        <w:jc w:val="left"/>
        <w:rPr>
          <w:rFonts w:ascii="宋体" w:hAnsi="宋体"/>
          <w:sz w:val="24"/>
          <w:szCs w:val="24"/>
        </w:rPr>
      </w:pPr>
      <w:r>
        <w:rPr>
          <w:rFonts w:ascii="宋体" w:hAnsi="宋体"/>
          <w:sz w:val="24"/>
          <w:szCs w:val="24"/>
        </w:rPr>
        <w:br w:type="page"/>
      </w:r>
    </w:p>
    <w:p>
      <w:pPr>
        <w:pStyle w:val="2"/>
      </w:pPr>
      <w:bookmarkStart w:id="113" w:name="_Toc46402446"/>
      <w:r>
        <w:rPr>
          <w:rFonts w:hint="eastAsia"/>
        </w:rPr>
        <w:t>衢州学院特种设备安全管理办法</w:t>
      </w:r>
      <w:bookmarkEnd w:id="109"/>
      <w:bookmarkEnd w:id="110"/>
      <w:bookmarkEnd w:id="111"/>
      <w:bookmarkEnd w:id="112"/>
      <w:bookmarkEnd w:id="113"/>
    </w:p>
    <w:p>
      <w:pPr>
        <w:widowControl/>
        <w:spacing w:line="480"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由于教学、科研和生产的需要，学校拥有一定数量的各类特种设备。为防止和减少事故的发生，保障学校师生员工生命安全和国家财产不受损失，创造良好的办学条件，根据《特种设备安全法》、《特种设备安全监察条例》等精神，结合学校实际情况，制定本办法。</w:t>
      </w:r>
    </w:p>
    <w:p>
      <w:pPr>
        <w:numPr>
          <w:ilvl w:val="0"/>
          <w:numId w:val="24"/>
        </w:numPr>
        <w:spacing w:line="480" w:lineRule="exact"/>
        <w:rPr>
          <w:rFonts w:ascii="黑体" w:hAnsi="黑体" w:eastAsia="黑体" w:cs="黑体"/>
          <w:sz w:val="24"/>
          <w:szCs w:val="24"/>
        </w:rPr>
      </w:pPr>
      <w:r>
        <w:rPr>
          <w:rFonts w:hint="eastAsia" w:ascii="黑体" w:hAnsi="黑体" w:eastAsia="黑体" w:cs="黑体"/>
          <w:sz w:val="24"/>
          <w:szCs w:val="24"/>
        </w:rPr>
        <w:t>特种设备的界定</w:t>
      </w:r>
    </w:p>
    <w:p>
      <w:pPr>
        <w:spacing w:line="480" w:lineRule="exact"/>
        <w:ind w:firstLine="480" w:firstLineChars="200"/>
        <w:rPr>
          <w:rFonts w:ascii="宋体" w:hAnsi="宋体"/>
          <w:sz w:val="24"/>
          <w:szCs w:val="24"/>
        </w:rPr>
      </w:pPr>
      <w:r>
        <w:rPr>
          <w:rFonts w:hint="eastAsia" w:ascii="宋体" w:hAnsi="宋体"/>
          <w:sz w:val="24"/>
          <w:szCs w:val="24"/>
        </w:rPr>
        <w:t>特种设备是指对人身和财产安全有较大危险性的锅炉、压力容器（含气瓶）、压力管道、电梯、起重机械、客运索道、大型游乐设施、场（厂）内专用机动车辆等。</w:t>
      </w:r>
    </w:p>
    <w:p>
      <w:pPr>
        <w:numPr>
          <w:ilvl w:val="0"/>
          <w:numId w:val="24"/>
        </w:numPr>
        <w:spacing w:line="480" w:lineRule="exact"/>
        <w:rPr>
          <w:rFonts w:ascii="黑体" w:hAnsi="黑体" w:eastAsia="黑体" w:cs="黑体"/>
          <w:sz w:val="24"/>
          <w:szCs w:val="24"/>
        </w:rPr>
      </w:pPr>
      <w:r>
        <w:rPr>
          <w:rFonts w:hint="eastAsia" w:ascii="黑体" w:hAnsi="黑体" w:eastAsia="黑体" w:cs="黑体"/>
          <w:sz w:val="24"/>
          <w:szCs w:val="24"/>
        </w:rPr>
        <w:t>特种设备的购置、安装、注册登记及报废与产权转移</w:t>
      </w:r>
    </w:p>
    <w:p>
      <w:pPr>
        <w:numPr>
          <w:ilvl w:val="0"/>
          <w:numId w:val="25"/>
        </w:numPr>
        <w:spacing w:line="480" w:lineRule="exact"/>
        <w:rPr>
          <w:rFonts w:ascii="宋体" w:hAnsi="宋体"/>
          <w:sz w:val="24"/>
          <w:szCs w:val="24"/>
        </w:rPr>
      </w:pPr>
      <w:r>
        <w:rPr>
          <w:rFonts w:hint="eastAsia" w:ascii="宋体" w:hAnsi="宋体"/>
          <w:sz w:val="24"/>
          <w:szCs w:val="24"/>
        </w:rPr>
        <w:t>特种设备的购置</w:t>
      </w:r>
    </w:p>
    <w:p>
      <w:pPr>
        <w:widowControl/>
        <w:spacing w:line="480" w:lineRule="exact"/>
        <w:ind w:firstLine="560"/>
        <w:jc w:val="left"/>
        <w:rPr>
          <w:rFonts w:ascii="宋体" w:hAnsi="宋体"/>
          <w:sz w:val="24"/>
          <w:szCs w:val="24"/>
        </w:rPr>
      </w:pPr>
      <w:r>
        <w:rPr>
          <w:rFonts w:hint="eastAsia" w:ascii="宋体" w:hAnsi="宋体"/>
          <w:sz w:val="24"/>
          <w:szCs w:val="24"/>
        </w:rPr>
        <w:t>购置特种设备时，应认真进行市场调研，选择由国家认定具有特种设备生产资质的厂家生产的设备。使用单位不得自行设计、制造和使用自制的特种设备，也不得对原有的特种设备擅自进行改造。</w:t>
      </w:r>
    </w:p>
    <w:p>
      <w:pPr>
        <w:spacing w:line="480" w:lineRule="exact"/>
        <w:ind w:firstLine="480" w:firstLineChars="200"/>
        <w:rPr>
          <w:rFonts w:ascii="宋体" w:hAnsi="宋体"/>
          <w:sz w:val="24"/>
          <w:szCs w:val="24"/>
        </w:rPr>
      </w:pPr>
      <w:r>
        <w:rPr>
          <w:rFonts w:hint="eastAsia" w:ascii="宋体" w:hAnsi="宋体"/>
          <w:sz w:val="24"/>
          <w:szCs w:val="24"/>
        </w:rPr>
        <w:t>2.特种设备的安装</w:t>
      </w:r>
    </w:p>
    <w:p>
      <w:pPr>
        <w:spacing w:line="480" w:lineRule="exact"/>
        <w:ind w:firstLine="480" w:firstLineChars="200"/>
        <w:rPr>
          <w:rFonts w:ascii="宋体" w:hAnsi="宋体"/>
          <w:sz w:val="24"/>
          <w:szCs w:val="24"/>
        </w:rPr>
      </w:pPr>
      <w:r>
        <w:rPr>
          <w:rFonts w:hint="eastAsia" w:ascii="宋体" w:hAnsi="宋体"/>
          <w:sz w:val="24"/>
          <w:szCs w:val="24"/>
        </w:rPr>
        <w:t>特种设备购置后，按要求办理安装申报手续。特种设备应由制造该设备的厂家负责安装和调试，不得自行安装使用。验收合格后制造厂商应尽快将技术资料移交使用部门存档，使用部门建立特种设备技术档案。</w:t>
      </w:r>
    </w:p>
    <w:p>
      <w:pPr>
        <w:spacing w:line="480" w:lineRule="exact"/>
        <w:ind w:firstLine="480" w:firstLineChars="200"/>
        <w:rPr>
          <w:rFonts w:ascii="宋体" w:hAnsi="宋体"/>
          <w:sz w:val="24"/>
          <w:szCs w:val="24"/>
        </w:rPr>
      </w:pPr>
      <w:r>
        <w:rPr>
          <w:rFonts w:hint="eastAsia" w:ascii="宋体" w:hAnsi="宋体"/>
          <w:sz w:val="24"/>
          <w:szCs w:val="24"/>
        </w:rPr>
        <w:t>3.特种设备的登记</w:t>
      </w:r>
    </w:p>
    <w:p>
      <w:pPr>
        <w:spacing w:line="480" w:lineRule="exact"/>
        <w:ind w:firstLine="480" w:firstLineChars="200"/>
        <w:rPr>
          <w:rFonts w:ascii="宋体" w:hAnsi="宋体"/>
          <w:sz w:val="24"/>
          <w:szCs w:val="24"/>
        </w:rPr>
      </w:pPr>
      <w:r>
        <w:rPr>
          <w:rFonts w:hint="eastAsia" w:ascii="宋体" w:hAnsi="宋体"/>
          <w:sz w:val="24"/>
          <w:szCs w:val="24"/>
        </w:rPr>
        <w:t>特种设备安装和调试完毕，安装单位自检合格后，由使用单位提出申请，到质量技术监督局办理注册登记手续和取得特种设备使用登记证。</w:t>
      </w:r>
    </w:p>
    <w:p>
      <w:pPr>
        <w:spacing w:line="480" w:lineRule="exact"/>
        <w:ind w:firstLine="480" w:firstLineChars="200"/>
        <w:rPr>
          <w:rFonts w:ascii="宋体" w:hAnsi="宋体"/>
          <w:sz w:val="24"/>
          <w:szCs w:val="24"/>
        </w:rPr>
      </w:pPr>
      <w:r>
        <w:rPr>
          <w:rFonts w:hint="eastAsia" w:ascii="宋体" w:hAnsi="宋体"/>
          <w:sz w:val="24"/>
          <w:szCs w:val="24"/>
        </w:rPr>
        <w:t>凡未按要求办理注册登记手续，未取得特种设备使用登记证的特种设备，不得擅自使用。</w:t>
      </w:r>
    </w:p>
    <w:p>
      <w:pPr>
        <w:spacing w:line="480" w:lineRule="exact"/>
        <w:ind w:firstLine="480" w:firstLineChars="200"/>
        <w:rPr>
          <w:rFonts w:ascii="宋体" w:hAnsi="宋体"/>
          <w:sz w:val="24"/>
          <w:szCs w:val="24"/>
        </w:rPr>
      </w:pPr>
      <w:r>
        <w:rPr>
          <w:rFonts w:hint="eastAsia" w:ascii="宋体" w:hAnsi="宋体"/>
          <w:sz w:val="24"/>
          <w:szCs w:val="24"/>
        </w:rPr>
        <w:t>4.特种设备的报废和产权转移</w:t>
      </w:r>
    </w:p>
    <w:p>
      <w:pPr>
        <w:widowControl/>
        <w:spacing w:line="480" w:lineRule="exact"/>
        <w:ind w:firstLine="560"/>
        <w:jc w:val="left"/>
        <w:rPr>
          <w:rFonts w:ascii="宋体" w:hAnsi="宋体"/>
          <w:sz w:val="24"/>
          <w:szCs w:val="24"/>
        </w:rPr>
      </w:pPr>
      <w:r>
        <w:rPr>
          <w:rFonts w:hint="eastAsia" w:ascii="宋体" w:hAnsi="宋体"/>
          <w:sz w:val="24"/>
          <w:szCs w:val="24"/>
        </w:rPr>
        <w:t>特种设备使用年限到期或检验判废或因其他原因无法再正常使用的设备，应立即停止使用，报实验室与设备管理处批准，并到质量技术监督局办理注销手续。产权需要发生转移的特种设备，应办理相关手续。</w:t>
      </w:r>
    </w:p>
    <w:p>
      <w:pPr>
        <w:numPr>
          <w:ilvl w:val="0"/>
          <w:numId w:val="24"/>
        </w:numPr>
        <w:spacing w:line="480" w:lineRule="exact"/>
        <w:rPr>
          <w:rFonts w:ascii="黑体" w:hAnsi="黑体" w:eastAsia="黑体" w:cs="黑体"/>
          <w:sz w:val="24"/>
          <w:szCs w:val="24"/>
        </w:rPr>
      </w:pPr>
      <w:r>
        <w:rPr>
          <w:rFonts w:hint="eastAsia" w:ascii="黑体" w:hAnsi="黑体" w:eastAsia="黑体" w:cs="黑体"/>
          <w:sz w:val="24"/>
          <w:szCs w:val="24"/>
        </w:rPr>
        <w:t>特种设备的管理和使用人员的培训</w:t>
      </w:r>
    </w:p>
    <w:p>
      <w:pPr>
        <w:spacing w:line="480" w:lineRule="exact"/>
        <w:ind w:firstLine="480" w:firstLineChars="200"/>
        <w:rPr>
          <w:rFonts w:ascii="宋体" w:hAnsi="宋体"/>
          <w:sz w:val="24"/>
          <w:szCs w:val="24"/>
        </w:rPr>
      </w:pPr>
      <w:r>
        <w:rPr>
          <w:rFonts w:hint="eastAsia" w:ascii="宋体" w:hAnsi="宋体"/>
          <w:sz w:val="24"/>
          <w:szCs w:val="24"/>
        </w:rPr>
        <w:t>1.特种设备购置后，要有专人负责管理，职责明确。设备领用人要认真清理、登记并保管随机文件和资料，建立设备的技术档案，及时办理好固定资产入账手续；组织设备的安装、维护和保养，组织进行日常检查及定期检验，针对特种设备的情况制定出相应的规章制度等。</w:t>
      </w:r>
    </w:p>
    <w:p>
      <w:pPr>
        <w:spacing w:line="480" w:lineRule="exact"/>
        <w:ind w:firstLine="480" w:firstLineChars="200"/>
        <w:rPr>
          <w:rFonts w:ascii="宋体" w:hAnsi="宋体"/>
          <w:sz w:val="24"/>
          <w:szCs w:val="24"/>
        </w:rPr>
      </w:pPr>
      <w:r>
        <w:rPr>
          <w:rFonts w:hint="eastAsia" w:ascii="宋体" w:hAnsi="宋体"/>
          <w:sz w:val="24"/>
          <w:szCs w:val="24"/>
        </w:rPr>
        <w:t>2. 特种设备使用操作人员，必须通过培训、考核，取得特种设备作业资格证书后方可从事相应的工作。作业中应严格执行特种设备的操作规程和有关的安全制度。</w:t>
      </w:r>
    </w:p>
    <w:p>
      <w:pPr>
        <w:spacing w:line="480" w:lineRule="exact"/>
        <w:ind w:firstLine="480" w:firstLineChars="200"/>
        <w:rPr>
          <w:rFonts w:ascii="黑体" w:hAnsi="黑体" w:eastAsia="黑体" w:cs="黑体"/>
          <w:sz w:val="24"/>
          <w:szCs w:val="24"/>
        </w:rPr>
      </w:pPr>
      <w:r>
        <w:rPr>
          <w:rFonts w:hint="eastAsia" w:ascii="黑体" w:hAnsi="黑体" w:eastAsia="黑体" w:cs="黑体"/>
          <w:sz w:val="24"/>
          <w:szCs w:val="24"/>
        </w:rPr>
        <w:t>四、建立特种设备管理的规章制度与技术档案</w:t>
      </w:r>
    </w:p>
    <w:p>
      <w:pPr>
        <w:spacing w:line="480" w:lineRule="exact"/>
        <w:ind w:firstLine="480" w:firstLineChars="200"/>
        <w:rPr>
          <w:rFonts w:ascii="宋体" w:hAnsi="宋体"/>
          <w:sz w:val="24"/>
          <w:szCs w:val="24"/>
        </w:rPr>
      </w:pPr>
      <w:r>
        <w:rPr>
          <w:rFonts w:hint="eastAsia" w:ascii="宋体" w:hAnsi="宋体"/>
          <w:sz w:val="24"/>
          <w:szCs w:val="24"/>
        </w:rPr>
        <w:t>1.建立特种设备的规章制度</w:t>
      </w:r>
    </w:p>
    <w:p>
      <w:pPr>
        <w:spacing w:line="480" w:lineRule="exact"/>
        <w:ind w:firstLine="480" w:firstLineChars="200"/>
        <w:rPr>
          <w:rFonts w:ascii="宋体" w:hAnsi="宋体"/>
          <w:sz w:val="24"/>
          <w:szCs w:val="24"/>
        </w:rPr>
      </w:pPr>
      <w:r>
        <w:rPr>
          <w:rFonts w:hint="eastAsia" w:ascii="宋体" w:hAnsi="宋体"/>
          <w:sz w:val="24"/>
          <w:szCs w:val="24"/>
        </w:rPr>
        <w:t>（1）安全使用管理制度（操作规程）</w:t>
      </w:r>
    </w:p>
    <w:p>
      <w:pPr>
        <w:spacing w:line="480" w:lineRule="exact"/>
        <w:ind w:firstLine="480" w:firstLineChars="200"/>
        <w:rPr>
          <w:rFonts w:ascii="宋体" w:hAnsi="宋体"/>
          <w:sz w:val="24"/>
          <w:szCs w:val="24"/>
        </w:rPr>
      </w:pPr>
      <w:r>
        <w:rPr>
          <w:rFonts w:hint="eastAsia" w:ascii="宋体" w:hAnsi="宋体"/>
          <w:sz w:val="24"/>
          <w:szCs w:val="24"/>
        </w:rPr>
        <w:t>（2）事故应急措施和救援预案</w:t>
      </w:r>
    </w:p>
    <w:p>
      <w:pPr>
        <w:spacing w:line="480" w:lineRule="exact"/>
        <w:ind w:firstLine="480" w:firstLineChars="200"/>
        <w:rPr>
          <w:rFonts w:ascii="宋体" w:hAnsi="宋体"/>
          <w:sz w:val="24"/>
          <w:szCs w:val="24"/>
        </w:rPr>
      </w:pPr>
      <w:r>
        <w:rPr>
          <w:rFonts w:hint="eastAsia" w:ascii="宋体" w:hAnsi="宋体"/>
          <w:sz w:val="24"/>
          <w:szCs w:val="24"/>
        </w:rPr>
        <w:t>2.建立特种设备技术档案</w:t>
      </w:r>
    </w:p>
    <w:p>
      <w:pPr>
        <w:spacing w:line="480" w:lineRule="exact"/>
        <w:ind w:firstLine="480" w:firstLineChars="200"/>
        <w:rPr>
          <w:rFonts w:ascii="宋体" w:hAnsi="宋体"/>
          <w:sz w:val="24"/>
          <w:szCs w:val="24"/>
        </w:rPr>
      </w:pPr>
      <w:r>
        <w:rPr>
          <w:rFonts w:hint="eastAsia" w:ascii="宋体" w:hAnsi="宋体"/>
          <w:sz w:val="24"/>
          <w:szCs w:val="24"/>
        </w:rPr>
        <w:t>特种设备均应建立技术档案，技术档案建立要及时，特种设备的使用部门发生变化时，应及时向新使用部门移交技术档案。</w:t>
      </w:r>
    </w:p>
    <w:p>
      <w:pPr>
        <w:spacing w:line="480" w:lineRule="exact"/>
        <w:ind w:firstLine="480" w:firstLineChars="200"/>
        <w:rPr>
          <w:rFonts w:ascii="宋体" w:hAnsi="宋体"/>
          <w:sz w:val="24"/>
          <w:szCs w:val="24"/>
        </w:rPr>
      </w:pPr>
      <w:r>
        <w:rPr>
          <w:rFonts w:hint="eastAsia" w:ascii="宋体" w:hAnsi="宋体"/>
          <w:sz w:val="24"/>
          <w:szCs w:val="24"/>
        </w:rPr>
        <w:t>特种设备技术档案的基本内容包括：</w:t>
      </w:r>
    </w:p>
    <w:p>
      <w:pPr>
        <w:widowControl/>
        <w:spacing w:line="480" w:lineRule="exact"/>
        <w:ind w:firstLine="560"/>
        <w:jc w:val="left"/>
        <w:rPr>
          <w:rFonts w:ascii="宋体" w:hAnsi="宋体"/>
          <w:sz w:val="24"/>
          <w:szCs w:val="24"/>
        </w:rPr>
      </w:pPr>
      <w:r>
        <w:rPr>
          <w:rFonts w:hint="eastAsia" w:ascii="宋体" w:hAnsi="宋体"/>
          <w:sz w:val="24"/>
          <w:szCs w:val="24"/>
        </w:rPr>
        <w:t>（1）档案文件清单；</w:t>
      </w:r>
    </w:p>
    <w:p>
      <w:pPr>
        <w:widowControl/>
        <w:spacing w:line="480" w:lineRule="exact"/>
        <w:ind w:firstLine="560"/>
        <w:jc w:val="left"/>
        <w:rPr>
          <w:rFonts w:ascii="宋体" w:hAnsi="宋体"/>
          <w:sz w:val="24"/>
          <w:szCs w:val="24"/>
        </w:rPr>
      </w:pPr>
      <w:r>
        <w:rPr>
          <w:rFonts w:hint="eastAsia" w:ascii="宋体" w:hAnsi="宋体"/>
          <w:sz w:val="24"/>
          <w:szCs w:val="24"/>
        </w:rPr>
        <w:t>（2）设备及部件出厂时的随机技术文件；</w:t>
      </w:r>
    </w:p>
    <w:p>
      <w:pPr>
        <w:widowControl/>
        <w:spacing w:line="480" w:lineRule="exact"/>
        <w:ind w:firstLine="560"/>
        <w:jc w:val="left"/>
        <w:rPr>
          <w:rFonts w:ascii="宋体" w:hAnsi="宋体"/>
          <w:sz w:val="24"/>
          <w:szCs w:val="24"/>
        </w:rPr>
      </w:pPr>
      <w:r>
        <w:rPr>
          <w:rFonts w:hint="eastAsia" w:ascii="宋体" w:hAnsi="宋体"/>
          <w:sz w:val="24"/>
          <w:szCs w:val="24"/>
        </w:rPr>
        <w:t>（3）安装、维护、大修、改造的合同书及技术资料；</w:t>
      </w:r>
    </w:p>
    <w:p>
      <w:pPr>
        <w:widowControl/>
        <w:spacing w:line="480" w:lineRule="exact"/>
        <w:ind w:firstLine="560"/>
        <w:jc w:val="left"/>
        <w:rPr>
          <w:rFonts w:ascii="宋体" w:hAnsi="宋体"/>
          <w:sz w:val="24"/>
          <w:szCs w:val="24"/>
        </w:rPr>
      </w:pPr>
      <w:r>
        <w:rPr>
          <w:rFonts w:hint="eastAsia" w:ascii="宋体" w:hAnsi="宋体"/>
          <w:sz w:val="24"/>
          <w:szCs w:val="24"/>
        </w:rPr>
        <w:t>（4）登记卡、特种设备使用登记证、检验报告书、安全使用操作规程；</w:t>
      </w:r>
    </w:p>
    <w:p>
      <w:pPr>
        <w:widowControl/>
        <w:spacing w:line="480" w:lineRule="exact"/>
        <w:ind w:firstLine="560"/>
        <w:jc w:val="left"/>
        <w:rPr>
          <w:rFonts w:ascii="宋体" w:hAnsi="宋体"/>
          <w:sz w:val="24"/>
          <w:szCs w:val="24"/>
        </w:rPr>
      </w:pPr>
      <w:r>
        <w:rPr>
          <w:rFonts w:hint="eastAsia" w:ascii="宋体" w:hAnsi="宋体"/>
          <w:sz w:val="24"/>
          <w:szCs w:val="24"/>
        </w:rPr>
        <w:t>（5）运行记录、日常检查记录；</w:t>
      </w:r>
    </w:p>
    <w:p>
      <w:pPr>
        <w:widowControl/>
        <w:spacing w:line="480" w:lineRule="exact"/>
        <w:ind w:firstLine="560"/>
        <w:jc w:val="left"/>
        <w:rPr>
          <w:rFonts w:ascii="宋体" w:hAnsi="宋体"/>
          <w:sz w:val="24"/>
          <w:szCs w:val="24"/>
        </w:rPr>
      </w:pPr>
      <w:r>
        <w:rPr>
          <w:rFonts w:hint="eastAsia" w:ascii="宋体" w:hAnsi="宋体"/>
          <w:sz w:val="24"/>
          <w:szCs w:val="24"/>
        </w:rPr>
        <w:t>（6）故障及事故记录、紧急情况救援预案；</w:t>
      </w:r>
    </w:p>
    <w:p>
      <w:pPr>
        <w:widowControl/>
        <w:spacing w:line="480" w:lineRule="exact"/>
        <w:ind w:firstLine="560"/>
        <w:jc w:val="left"/>
        <w:rPr>
          <w:rFonts w:ascii="宋体" w:hAnsi="宋体"/>
          <w:sz w:val="24"/>
          <w:szCs w:val="24"/>
        </w:rPr>
      </w:pPr>
      <w:r>
        <w:rPr>
          <w:rFonts w:hint="eastAsia" w:ascii="宋体" w:hAnsi="宋体"/>
          <w:sz w:val="24"/>
          <w:szCs w:val="24"/>
        </w:rPr>
        <w:t>（7）操作人员情况登记。</w:t>
      </w:r>
    </w:p>
    <w:p>
      <w:pPr>
        <w:widowControl/>
        <w:spacing w:line="480" w:lineRule="exact"/>
        <w:ind w:firstLine="560"/>
        <w:jc w:val="left"/>
        <w:rPr>
          <w:rFonts w:ascii="黑体" w:hAnsi="黑体" w:eastAsia="黑体" w:cs="黑体"/>
          <w:sz w:val="24"/>
          <w:szCs w:val="24"/>
        </w:rPr>
      </w:pPr>
      <w:r>
        <w:rPr>
          <w:rFonts w:hint="eastAsia" w:ascii="黑体" w:hAnsi="黑体" w:eastAsia="黑体" w:cs="黑体"/>
          <w:sz w:val="24"/>
          <w:szCs w:val="24"/>
        </w:rPr>
        <w:t>五、特种设备的检验</w:t>
      </w:r>
    </w:p>
    <w:p>
      <w:pPr>
        <w:widowControl/>
        <w:spacing w:line="480" w:lineRule="exact"/>
        <w:ind w:firstLine="560"/>
        <w:jc w:val="left"/>
        <w:rPr>
          <w:rFonts w:ascii="宋体" w:hAnsi="宋体"/>
          <w:sz w:val="24"/>
          <w:szCs w:val="24"/>
        </w:rPr>
      </w:pPr>
      <w:r>
        <w:rPr>
          <w:rFonts w:hint="eastAsia" w:ascii="宋体" w:hAnsi="宋体"/>
          <w:sz w:val="24"/>
          <w:szCs w:val="24"/>
        </w:rPr>
        <w:t>1.在用的特种设备，必须坚持对其技术安全性能进行定期检验。定期检验工作由使用部门组织，接受特种设备检验单位的检验，并将检验结果报实验室与设备管理处备案。</w:t>
      </w:r>
    </w:p>
    <w:p>
      <w:pPr>
        <w:widowControl/>
        <w:spacing w:line="480" w:lineRule="exact"/>
        <w:ind w:firstLine="560"/>
        <w:jc w:val="left"/>
        <w:rPr>
          <w:rFonts w:ascii="宋体" w:hAnsi="宋体"/>
          <w:sz w:val="24"/>
          <w:szCs w:val="24"/>
        </w:rPr>
      </w:pPr>
      <w:r>
        <w:rPr>
          <w:rFonts w:hint="eastAsia" w:ascii="宋体" w:hAnsi="宋体"/>
          <w:sz w:val="24"/>
          <w:szCs w:val="24"/>
        </w:rPr>
        <w:t>2.因工作变化，须停用一年以上的特种设备，要到质量技术监督局办理停用手续。</w:t>
      </w:r>
    </w:p>
    <w:p>
      <w:pPr>
        <w:widowControl/>
        <w:spacing w:line="480" w:lineRule="exact"/>
        <w:ind w:firstLine="561"/>
        <w:jc w:val="left"/>
        <w:rPr>
          <w:rFonts w:ascii="宋体" w:hAnsi="宋体"/>
          <w:sz w:val="24"/>
          <w:szCs w:val="24"/>
        </w:rPr>
      </w:pPr>
      <w:r>
        <w:rPr>
          <w:rFonts w:hint="eastAsia" w:ascii="宋体" w:hAnsi="宋体"/>
          <w:sz w:val="24"/>
          <w:szCs w:val="24"/>
        </w:rPr>
        <w:t>3.停用一年以上或发生过事故的特种设备以及遇到自然灾害并可能影响安全技术性能的特种设备，再次启用前要进行全面的检查和维护保养，经特种设备检验单位检验合格，重新取得特种设备使用登记证后方可使用。</w:t>
      </w:r>
    </w:p>
    <w:p>
      <w:pPr>
        <w:widowControl/>
        <w:spacing w:line="480" w:lineRule="exact"/>
        <w:ind w:firstLine="561"/>
        <w:jc w:val="left"/>
        <w:rPr>
          <w:rFonts w:ascii="黑体" w:hAnsi="黑体" w:eastAsia="黑体" w:cs="黑体"/>
          <w:sz w:val="24"/>
          <w:szCs w:val="24"/>
        </w:rPr>
      </w:pPr>
      <w:r>
        <w:rPr>
          <w:rFonts w:hint="eastAsia" w:ascii="黑体" w:hAnsi="黑体" w:eastAsia="黑体" w:cs="黑体"/>
          <w:sz w:val="24"/>
          <w:szCs w:val="24"/>
        </w:rPr>
        <w:t>六、特种设备的安全检查</w:t>
      </w:r>
    </w:p>
    <w:p>
      <w:pPr>
        <w:widowControl/>
        <w:spacing w:line="480" w:lineRule="exact"/>
        <w:ind w:firstLine="561"/>
        <w:jc w:val="left"/>
        <w:rPr>
          <w:rFonts w:ascii="宋体" w:hAnsi="宋体"/>
          <w:sz w:val="24"/>
          <w:szCs w:val="24"/>
        </w:rPr>
      </w:pPr>
      <w:r>
        <w:rPr>
          <w:rFonts w:hint="eastAsia" w:ascii="宋体" w:hAnsi="宋体"/>
          <w:sz w:val="24"/>
          <w:szCs w:val="24"/>
        </w:rPr>
        <w:t>对在用特种设备进行安全检查，是保证特种设备安全使用的有效手段。检查工作要形成制度，认真执行。学校每年检查（或抽查）一次，学院（中心）每学期检查一次，实验室每月检查一次，特种设备使用人员在使用前后要进行检查。</w:t>
      </w:r>
    </w:p>
    <w:p>
      <w:pPr>
        <w:widowControl/>
        <w:spacing w:line="480" w:lineRule="exact"/>
        <w:ind w:firstLine="561"/>
        <w:jc w:val="left"/>
        <w:rPr>
          <w:rFonts w:ascii="宋体" w:hAnsi="宋体"/>
          <w:sz w:val="24"/>
          <w:szCs w:val="24"/>
        </w:rPr>
      </w:pPr>
      <w:r>
        <w:rPr>
          <w:rFonts w:hint="eastAsia" w:ascii="宋体" w:hAnsi="宋体"/>
          <w:sz w:val="24"/>
          <w:szCs w:val="24"/>
        </w:rPr>
        <w:t>1.学校检查内容：</w:t>
      </w:r>
    </w:p>
    <w:p>
      <w:pPr>
        <w:widowControl/>
        <w:spacing w:line="480" w:lineRule="exact"/>
        <w:ind w:firstLine="561"/>
        <w:jc w:val="left"/>
        <w:rPr>
          <w:rFonts w:ascii="宋体" w:hAnsi="宋体"/>
          <w:sz w:val="24"/>
          <w:szCs w:val="24"/>
        </w:rPr>
      </w:pPr>
      <w:r>
        <w:rPr>
          <w:rFonts w:hint="eastAsia" w:ascii="宋体" w:hAnsi="宋体"/>
          <w:sz w:val="24"/>
          <w:szCs w:val="24"/>
        </w:rPr>
        <w:t>（1）特种设备安全操作规程的制定和执行情况；</w:t>
      </w:r>
    </w:p>
    <w:p>
      <w:pPr>
        <w:widowControl/>
        <w:spacing w:line="480" w:lineRule="exact"/>
        <w:ind w:firstLine="561"/>
        <w:jc w:val="left"/>
        <w:rPr>
          <w:rFonts w:ascii="宋体" w:hAnsi="宋体"/>
          <w:sz w:val="24"/>
          <w:szCs w:val="24"/>
        </w:rPr>
      </w:pPr>
      <w:r>
        <w:rPr>
          <w:rFonts w:hint="eastAsia" w:ascii="宋体" w:hAnsi="宋体"/>
          <w:sz w:val="24"/>
          <w:szCs w:val="24"/>
        </w:rPr>
        <w:t>（2）特种设备负责人和使用人员落实情况；</w:t>
      </w:r>
    </w:p>
    <w:p>
      <w:pPr>
        <w:widowControl/>
        <w:spacing w:line="480" w:lineRule="exact"/>
        <w:ind w:firstLine="561"/>
        <w:jc w:val="left"/>
        <w:rPr>
          <w:rFonts w:ascii="宋体" w:hAnsi="宋体"/>
          <w:sz w:val="24"/>
          <w:szCs w:val="24"/>
        </w:rPr>
      </w:pPr>
      <w:r>
        <w:rPr>
          <w:rFonts w:hint="eastAsia" w:ascii="宋体" w:hAnsi="宋体"/>
          <w:sz w:val="24"/>
          <w:szCs w:val="24"/>
        </w:rPr>
        <w:t>（3）特种设备建账情况；</w:t>
      </w:r>
    </w:p>
    <w:p>
      <w:pPr>
        <w:widowControl/>
        <w:spacing w:line="480" w:lineRule="exact"/>
        <w:ind w:firstLine="561"/>
        <w:jc w:val="left"/>
        <w:rPr>
          <w:rFonts w:ascii="宋体" w:hAnsi="宋体"/>
          <w:sz w:val="24"/>
          <w:szCs w:val="24"/>
        </w:rPr>
      </w:pPr>
      <w:r>
        <w:rPr>
          <w:rFonts w:hint="eastAsia" w:ascii="宋体" w:hAnsi="宋体"/>
          <w:sz w:val="24"/>
          <w:szCs w:val="24"/>
        </w:rPr>
        <w:t>（4）特种设备技术档案建立情况。</w:t>
      </w:r>
    </w:p>
    <w:p>
      <w:pPr>
        <w:widowControl/>
        <w:spacing w:line="480" w:lineRule="exact"/>
        <w:ind w:firstLine="561"/>
        <w:jc w:val="left"/>
        <w:rPr>
          <w:rFonts w:ascii="宋体" w:hAnsi="宋体"/>
          <w:sz w:val="24"/>
          <w:szCs w:val="24"/>
        </w:rPr>
      </w:pPr>
      <w:r>
        <w:rPr>
          <w:rFonts w:hint="eastAsia" w:ascii="宋体" w:hAnsi="宋体"/>
          <w:sz w:val="24"/>
          <w:szCs w:val="24"/>
        </w:rPr>
        <w:t>2.特种设备负责人和使用人员安全检查内容：</w:t>
      </w:r>
    </w:p>
    <w:p>
      <w:pPr>
        <w:widowControl/>
        <w:spacing w:line="480" w:lineRule="exact"/>
        <w:ind w:firstLine="561"/>
        <w:jc w:val="left"/>
        <w:rPr>
          <w:rFonts w:ascii="宋体" w:hAnsi="宋体"/>
          <w:sz w:val="24"/>
          <w:szCs w:val="24"/>
        </w:rPr>
      </w:pPr>
      <w:r>
        <w:rPr>
          <w:rFonts w:hint="eastAsia" w:ascii="宋体" w:hAnsi="宋体"/>
          <w:sz w:val="24"/>
          <w:szCs w:val="24"/>
        </w:rPr>
        <w:t>（1）设备及其部件的性状完好情况；</w:t>
      </w:r>
    </w:p>
    <w:p>
      <w:pPr>
        <w:widowControl/>
        <w:spacing w:line="480" w:lineRule="exact"/>
        <w:ind w:firstLine="561"/>
        <w:jc w:val="left"/>
        <w:rPr>
          <w:rFonts w:ascii="宋体" w:hAnsi="宋体"/>
          <w:sz w:val="24"/>
          <w:szCs w:val="24"/>
        </w:rPr>
      </w:pPr>
      <w:r>
        <w:rPr>
          <w:rFonts w:hint="eastAsia" w:ascii="宋体" w:hAnsi="宋体"/>
          <w:sz w:val="24"/>
          <w:szCs w:val="24"/>
        </w:rPr>
        <w:t>（2）保护装置的完整可用和校准情况；</w:t>
      </w:r>
    </w:p>
    <w:p>
      <w:pPr>
        <w:widowControl/>
        <w:spacing w:line="480" w:lineRule="exact"/>
        <w:ind w:firstLine="561"/>
        <w:jc w:val="left"/>
        <w:rPr>
          <w:rFonts w:ascii="宋体" w:hAnsi="宋体"/>
          <w:sz w:val="24"/>
          <w:szCs w:val="24"/>
        </w:rPr>
      </w:pPr>
      <w:r>
        <w:rPr>
          <w:rFonts w:hint="eastAsia" w:ascii="宋体" w:hAnsi="宋体"/>
          <w:sz w:val="24"/>
          <w:szCs w:val="24"/>
        </w:rPr>
        <w:t>（3）噪声、磨损、异常振动等运行状况。</w:t>
      </w:r>
    </w:p>
    <w:p>
      <w:pPr>
        <w:widowControl/>
        <w:spacing w:line="480" w:lineRule="exact"/>
        <w:ind w:firstLine="560"/>
        <w:jc w:val="left"/>
        <w:rPr>
          <w:rFonts w:ascii="黑体" w:hAnsi="黑体" w:eastAsia="黑体" w:cs="黑体"/>
          <w:sz w:val="24"/>
          <w:szCs w:val="24"/>
        </w:rPr>
      </w:pPr>
      <w:r>
        <w:rPr>
          <w:rFonts w:hint="eastAsia" w:ascii="黑体" w:hAnsi="黑体" w:eastAsia="黑体" w:cs="黑体"/>
          <w:sz w:val="24"/>
          <w:szCs w:val="24"/>
        </w:rPr>
        <w:t>七、事故处理</w:t>
      </w:r>
    </w:p>
    <w:p>
      <w:pPr>
        <w:widowControl/>
        <w:spacing w:line="480" w:lineRule="exact"/>
        <w:ind w:firstLine="561"/>
        <w:jc w:val="left"/>
        <w:rPr>
          <w:rFonts w:ascii="宋体" w:hAnsi="宋体"/>
          <w:sz w:val="24"/>
          <w:szCs w:val="24"/>
        </w:rPr>
      </w:pPr>
      <w:r>
        <w:rPr>
          <w:rFonts w:hint="eastAsia" w:ascii="宋体" w:hAnsi="宋体"/>
          <w:sz w:val="24"/>
          <w:szCs w:val="24"/>
        </w:rPr>
        <w:t>1.在用特种设备一旦发生事故，要立即采取救援措施，保护现场，及时向学校报告。凡可能自行扑救的，应立即组织扑救，边扑救边报告。</w:t>
      </w:r>
    </w:p>
    <w:p>
      <w:pPr>
        <w:widowControl/>
        <w:spacing w:line="480" w:lineRule="exact"/>
        <w:ind w:firstLine="561"/>
        <w:jc w:val="left"/>
        <w:rPr>
          <w:rFonts w:ascii="宋体" w:hAnsi="宋体"/>
          <w:sz w:val="24"/>
          <w:szCs w:val="24"/>
        </w:rPr>
      </w:pPr>
      <w:r>
        <w:rPr>
          <w:rFonts w:hint="eastAsia" w:ascii="宋体" w:hAnsi="宋体"/>
          <w:sz w:val="24"/>
          <w:szCs w:val="24"/>
        </w:rPr>
        <w:t>2. 事故发生后，要及时查明原因，吸取教训，消除隐患。对事故的发生原因、经验教训、处理结果要有书面记载并作为正式文件进入特种设备技术档案。</w:t>
      </w:r>
    </w:p>
    <w:p>
      <w:pPr>
        <w:widowControl/>
        <w:spacing w:line="480" w:lineRule="exact"/>
        <w:ind w:firstLine="561"/>
        <w:jc w:val="left"/>
        <w:rPr>
          <w:rFonts w:ascii="宋体" w:hAnsi="宋体"/>
          <w:sz w:val="24"/>
          <w:szCs w:val="24"/>
        </w:rPr>
      </w:pPr>
      <w:r>
        <w:rPr>
          <w:rFonts w:hint="eastAsia" w:ascii="宋体" w:hAnsi="宋体"/>
          <w:sz w:val="24"/>
          <w:szCs w:val="24"/>
        </w:rPr>
        <w:t>3. 对违反操作规程，造成安全事故者将按事故情节轻重给予相应处罚。</w:t>
      </w:r>
    </w:p>
    <w:p>
      <w:pPr>
        <w:widowControl/>
        <w:spacing w:line="480" w:lineRule="exact"/>
        <w:ind w:firstLine="561"/>
        <w:jc w:val="left"/>
        <w:rPr>
          <w:rFonts w:ascii="黑体" w:hAnsi="黑体" w:eastAsia="黑体" w:cs="黑体"/>
          <w:sz w:val="24"/>
          <w:szCs w:val="24"/>
        </w:rPr>
      </w:pPr>
      <w:r>
        <w:rPr>
          <w:rFonts w:hint="eastAsia" w:ascii="黑体" w:hAnsi="黑体" w:eastAsia="黑体" w:cs="黑体"/>
          <w:sz w:val="24"/>
          <w:szCs w:val="24"/>
        </w:rPr>
        <w:t>八、特种设备的禁用</w:t>
      </w:r>
    </w:p>
    <w:p>
      <w:pPr>
        <w:widowControl/>
        <w:spacing w:line="480" w:lineRule="exact"/>
        <w:ind w:firstLine="561"/>
        <w:jc w:val="left"/>
        <w:rPr>
          <w:rFonts w:ascii="宋体" w:hAnsi="宋体"/>
          <w:sz w:val="24"/>
          <w:szCs w:val="24"/>
        </w:rPr>
      </w:pPr>
      <w:r>
        <w:rPr>
          <w:rFonts w:hint="eastAsia" w:ascii="宋体" w:hAnsi="宋体"/>
          <w:sz w:val="24"/>
          <w:szCs w:val="24"/>
        </w:rPr>
        <w:t>1.未经检验、未办理注册登记和特种设备使用登记证的特种设备；</w:t>
      </w:r>
    </w:p>
    <w:p>
      <w:pPr>
        <w:widowControl/>
        <w:spacing w:line="480" w:lineRule="exact"/>
        <w:ind w:firstLine="561"/>
        <w:jc w:val="left"/>
        <w:rPr>
          <w:rFonts w:ascii="宋体" w:hAnsi="宋体"/>
          <w:sz w:val="24"/>
          <w:szCs w:val="24"/>
        </w:rPr>
      </w:pPr>
      <w:r>
        <w:rPr>
          <w:rFonts w:hint="eastAsia" w:ascii="宋体" w:hAnsi="宋体"/>
          <w:sz w:val="24"/>
          <w:szCs w:val="24"/>
        </w:rPr>
        <w:t>2.已报废的特种设备；</w:t>
      </w:r>
    </w:p>
    <w:p>
      <w:pPr>
        <w:widowControl/>
        <w:spacing w:line="480" w:lineRule="exact"/>
        <w:ind w:firstLine="561"/>
        <w:jc w:val="left"/>
        <w:rPr>
          <w:rFonts w:ascii="宋体" w:hAnsi="宋体"/>
          <w:sz w:val="24"/>
          <w:szCs w:val="24"/>
        </w:rPr>
      </w:pPr>
      <w:r>
        <w:rPr>
          <w:rFonts w:hint="eastAsia" w:ascii="宋体" w:hAnsi="宋体"/>
          <w:sz w:val="24"/>
          <w:szCs w:val="24"/>
        </w:rPr>
        <w:t>3.经检验被判定不合格的特种设备；</w:t>
      </w:r>
    </w:p>
    <w:p>
      <w:pPr>
        <w:widowControl/>
        <w:spacing w:line="480" w:lineRule="exact"/>
        <w:ind w:firstLine="561"/>
        <w:jc w:val="left"/>
        <w:rPr>
          <w:rFonts w:ascii="宋体" w:hAnsi="宋体"/>
          <w:sz w:val="24"/>
          <w:szCs w:val="24"/>
        </w:rPr>
      </w:pPr>
      <w:r>
        <w:rPr>
          <w:rFonts w:hint="eastAsia" w:ascii="宋体" w:hAnsi="宋体"/>
          <w:sz w:val="24"/>
          <w:szCs w:val="24"/>
        </w:rPr>
        <w:t>4.已发生故障而未排除的特种设备。</w:t>
      </w:r>
    </w:p>
    <w:p>
      <w:pPr>
        <w:widowControl/>
        <w:spacing w:line="480" w:lineRule="exact"/>
        <w:ind w:firstLine="561"/>
        <w:jc w:val="left"/>
        <w:rPr>
          <w:rFonts w:ascii="黑体" w:hAnsi="黑体" w:eastAsia="黑体" w:cs="黑体"/>
          <w:sz w:val="24"/>
          <w:szCs w:val="24"/>
        </w:rPr>
      </w:pPr>
      <w:r>
        <w:rPr>
          <w:rFonts w:hint="eastAsia" w:ascii="黑体" w:hAnsi="黑体" w:eastAsia="黑体" w:cs="黑体"/>
          <w:sz w:val="24"/>
          <w:szCs w:val="24"/>
        </w:rPr>
        <w:t>九、本办法自发文之日起执行，由实验室与设备管理处负责解释。</w:t>
      </w:r>
    </w:p>
    <w:p>
      <w:pPr>
        <w:widowControl/>
        <w:jc w:val="left"/>
        <w:rPr>
          <w:rFonts w:ascii="黑体" w:hAnsi="黑体" w:eastAsia="黑体" w:cs="黑体"/>
          <w:sz w:val="24"/>
          <w:szCs w:val="24"/>
        </w:rPr>
      </w:pPr>
      <w:r>
        <w:rPr>
          <w:rFonts w:ascii="黑体" w:hAnsi="黑体" w:eastAsia="黑体" w:cs="黑体"/>
          <w:sz w:val="24"/>
          <w:szCs w:val="24"/>
        </w:rPr>
        <w:br w:type="page"/>
      </w:r>
    </w:p>
    <w:p>
      <w:pPr>
        <w:pStyle w:val="2"/>
      </w:pPr>
      <w:bookmarkStart w:id="114" w:name="_Toc19555"/>
      <w:bookmarkStart w:id="115" w:name="_Toc8218"/>
      <w:bookmarkStart w:id="116" w:name="_Toc1420"/>
      <w:bookmarkStart w:id="117" w:name="_Toc15098"/>
      <w:bookmarkStart w:id="118" w:name="_Toc46402447"/>
      <w:r>
        <w:rPr>
          <w:rFonts w:hint="eastAsia"/>
        </w:rPr>
        <w:t>衢州学院仪器设备维修管理办法</w:t>
      </w:r>
      <w:bookmarkEnd w:id="114"/>
      <w:bookmarkEnd w:id="115"/>
      <w:bookmarkEnd w:id="116"/>
      <w:bookmarkEnd w:id="117"/>
      <w:bookmarkEnd w:id="118"/>
    </w:p>
    <w:p>
      <w:pPr>
        <w:spacing w:line="480" w:lineRule="exact"/>
        <w:ind w:firstLine="480" w:firstLineChars="200"/>
        <w:rPr>
          <w:rFonts w:ascii="宋体" w:hAnsi="宋体"/>
          <w:sz w:val="24"/>
          <w:szCs w:val="24"/>
        </w:rPr>
      </w:pPr>
      <w:r>
        <w:rPr>
          <w:rFonts w:hint="eastAsia" w:ascii="宋体" w:hAnsi="宋体"/>
          <w:sz w:val="24"/>
          <w:szCs w:val="24"/>
        </w:rPr>
        <w:t>为加强学校教学仪器设备的管理 ，提高仪器设备的完好率，充分发挥仪器设备的使用效益，保证教学、科研工作正常进行，根据《衢州学院仪器设备管理办法》规定，制定本办法。</w:t>
      </w:r>
    </w:p>
    <w:p>
      <w:pPr>
        <w:spacing w:line="480" w:lineRule="exact"/>
        <w:ind w:firstLine="472" w:firstLineChars="196"/>
        <w:rPr>
          <w:rFonts w:ascii="宋体" w:hAnsi="宋体"/>
          <w:sz w:val="24"/>
          <w:szCs w:val="24"/>
        </w:rPr>
      </w:pPr>
      <w:r>
        <w:rPr>
          <w:rFonts w:hint="eastAsia" w:ascii="宋体" w:hAnsi="宋体"/>
          <w:b/>
          <w:bCs/>
          <w:sz w:val="24"/>
          <w:szCs w:val="24"/>
        </w:rPr>
        <w:t>第一条</w:t>
      </w:r>
      <w:r>
        <w:rPr>
          <w:rFonts w:hint="eastAsia" w:ascii="宋体" w:hAnsi="宋体"/>
          <w:sz w:val="24"/>
          <w:szCs w:val="24"/>
        </w:rPr>
        <w:t xml:space="preserve"> 各部门应加强对仪器设备正常维护管理工作的领导，建立岗位责任制，把仪器设备正常维护工作作为管理人员工作考核的组成部分。</w:t>
      </w:r>
    </w:p>
    <w:p>
      <w:pPr>
        <w:spacing w:line="480" w:lineRule="exact"/>
        <w:ind w:firstLine="472" w:firstLineChars="196"/>
        <w:rPr>
          <w:rFonts w:ascii="宋体" w:hAnsi="宋体"/>
          <w:sz w:val="24"/>
          <w:szCs w:val="24"/>
        </w:rPr>
      </w:pPr>
      <w:r>
        <w:rPr>
          <w:rFonts w:hint="eastAsia" w:ascii="宋体" w:hAnsi="宋体"/>
          <w:b/>
          <w:bCs/>
          <w:sz w:val="24"/>
          <w:szCs w:val="24"/>
        </w:rPr>
        <w:t>第二条</w:t>
      </w:r>
      <w:r>
        <w:rPr>
          <w:rFonts w:hint="eastAsia" w:ascii="宋体" w:hAnsi="宋体"/>
          <w:sz w:val="24"/>
          <w:szCs w:val="24"/>
        </w:rPr>
        <w:t xml:space="preserve"> 仪器设备的日常维护保养是做好维修管理工作的基础，也是仪器设备管理人员的职责。实验室工作人员应不断钻研业务，按仪器设备的技术要求定期对所管理的仪器设备进行常规保养，对仪器设备的一般故障进行维修，以保持仪器设备较高的完好率。</w:t>
      </w:r>
    </w:p>
    <w:p>
      <w:pPr>
        <w:spacing w:line="480" w:lineRule="exact"/>
        <w:ind w:firstLine="472" w:firstLineChars="196"/>
        <w:rPr>
          <w:rFonts w:ascii="宋体" w:hAnsi="宋体"/>
          <w:sz w:val="24"/>
          <w:szCs w:val="24"/>
        </w:rPr>
      </w:pPr>
      <w:r>
        <w:rPr>
          <w:rFonts w:hint="eastAsia" w:ascii="宋体" w:hAnsi="宋体"/>
          <w:b/>
          <w:bCs/>
          <w:sz w:val="24"/>
          <w:szCs w:val="24"/>
        </w:rPr>
        <w:t>第三条</w:t>
      </w:r>
      <w:r>
        <w:rPr>
          <w:rFonts w:hint="eastAsia" w:ascii="宋体" w:hAnsi="宋体"/>
          <w:sz w:val="24"/>
          <w:szCs w:val="24"/>
        </w:rPr>
        <w:t xml:space="preserve"> 下列情况，均属仪器设备正常保养工作范围：</w:t>
      </w:r>
    </w:p>
    <w:p>
      <w:pPr>
        <w:spacing w:line="480" w:lineRule="exact"/>
        <w:ind w:firstLine="480" w:firstLineChars="200"/>
        <w:rPr>
          <w:rFonts w:ascii="宋体" w:hAnsi="宋体"/>
          <w:sz w:val="24"/>
          <w:szCs w:val="24"/>
        </w:rPr>
      </w:pPr>
      <w:r>
        <w:rPr>
          <w:rFonts w:hint="eastAsia" w:ascii="宋体" w:hAnsi="宋体"/>
          <w:sz w:val="24"/>
          <w:szCs w:val="24"/>
        </w:rPr>
        <w:t>（一）清除仪器设备灰尘、擦油等；</w:t>
      </w:r>
    </w:p>
    <w:p>
      <w:pPr>
        <w:spacing w:line="480" w:lineRule="exact"/>
        <w:ind w:firstLine="480" w:firstLineChars="200"/>
        <w:rPr>
          <w:rFonts w:ascii="宋体" w:hAnsi="宋体"/>
          <w:sz w:val="24"/>
          <w:szCs w:val="24"/>
        </w:rPr>
      </w:pPr>
      <w:r>
        <w:rPr>
          <w:rFonts w:hint="eastAsia" w:ascii="宋体" w:hAnsi="宋体"/>
          <w:sz w:val="24"/>
          <w:szCs w:val="24"/>
        </w:rPr>
        <w:t>（二）更换灯泡、连线、保险管（丝）等；</w:t>
      </w:r>
    </w:p>
    <w:p>
      <w:pPr>
        <w:spacing w:line="480" w:lineRule="exact"/>
        <w:ind w:firstLine="480" w:firstLineChars="200"/>
        <w:rPr>
          <w:rFonts w:ascii="宋体" w:hAnsi="宋体"/>
          <w:sz w:val="24"/>
          <w:szCs w:val="24"/>
        </w:rPr>
      </w:pPr>
      <w:r>
        <w:rPr>
          <w:rFonts w:hint="eastAsia" w:ascii="宋体" w:hAnsi="宋体"/>
          <w:sz w:val="24"/>
          <w:szCs w:val="24"/>
        </w:rPr>
        <w:t>（三）简单焊接线头电路板、仪器设备的调整和校准等；</w:t>
      </w:r>
    </w:p>
    <w:p>
      <w:pPr>
        <w:spacing w:line="480" w:lineRule="exact"/>
        <w:ind w:firstLine="480" w:firstLineChars="200"/>
        <w:rPr>
          <w:rFonts w:ascii="宋体" w:hAnsi="宋体"/>
          <w:sz w:val="24"/>
          <w:szCs w:val="24"/>
        </w:rPr>
      </w:pPr>
      <w:r>
        <w:rPr>
          <w:rFonts w:hint="eastAsia" w:ascii="宋体" w:hAnsi="宋体"/>
          <w:sz w:val="24"/>
          <w:szCs w:val="24"/>
        </w:rPr>
        <w:t>（四）费时不多的其他项目的小型修配。</w:t>
      </w:r>
    </w:p>
    <w:p>
      <w:pPr>
        <w:spacing w:line="480" w:lineRule="exact"/>
        <w:ind w:firstLine="472" w:firstLineChars="196"/>
        <w:rPr>
          <w:rFonts w:ascii="宋体" w:hAnsi="宋体"/>
          <w:sz w:val="24"/>
          <w:szCs w:val="24"/>
        </w:rPr>
      </w:pPr>
      <w:r>
        <w:rPr>
          <w:rFonts w:hint="eastAsia" w:ascii="宋体" w:hAnsi="宋体"/>
          <w:b/>
          <w:bCs/>
          <w:sz w:val="24"/>
          <w:szCs w:val="24"/>
        </w:rPr>
        <w:t>第四条</w:t>
      </w:r>
      <w:r>
        <w:rPr>
          <w:rFonts w:hint="eastAsia" w:ascii="宋体" w:hAnsi="宋体"/>
          <w:sz w:val="24"/>
          <w:szCs w:val="24"/>
        </w:rPr>
        <w:t xml:space="preserve"> 维修工作应本着“按质、按时、节约资金”的原则，采取校外、校内、自修相结合的维修途径，立足自修，鼓励校内修理，控制校外修理。</w:t>
      </w:r>
    </w:p>
    <w:p>
      <w:pPr>
        <w:spacing w:line="480" w:lineRule="exact"/>
        <w:ind w:firstLine="472" w:firstLineChars="196"/>
        <w:rPr>
          <w:rFonts w:ascii="宋体" w:hAnsi="宋体"/>
          <w:sz w:val="24"/>
          <w:szCs w:val="24"/>
        </w:rPr>
      </w:pPr>
      <w:r>
        <w:rPr>
          <w:rFonts w:hint="eastAsia" w:ascii="宋体" w:hAnsi="宋体"/>
          <w:b/>
          <w:bCs/>
          <w:sz w:val="24"/>
          <w:szCs w:val="24"/>
        </w:rPr>
        <w:t>第五条</w:t>
      </w:r>
      <w:r>
        <w:rPr>
          <w:rFonts w:hint="eastAsia" w:ascii="宋体" w:hAnsi="宋体"/>
          <w:sz w:val="24"/>
          <w:szCs w:val="24"/>
        </w:rPr>
        <w:t xml:space="preserve"> 仪器设备出现故障，应马上停机，防止故障扩大，并记录故障发生时间、原因，详细记录故障现象。</w:t>
      </w:r>
    </w:p>
    <w:p>
      <w:pPr>
        <w:spacing w:line="480" w:lineRule="exact"/>
        <w:ind w:firstLine="472" w:firstLineChars="196"/>
        <w:rPr>
          <w:rFonts w:ascii="宋体" w:hAnsi="宋体"/>
          <w:sz w:val="24"/>
          <w:szCs w:val="24"/>
        </w:rPr>
      </w:pPr>
      <w:r>
        <w:rPr>
          <w:rFonts w:hint="eastAsia" w:ascii="宋体" w:hAnsi="宋体"/>
          <w:b/>
          <w:bCs/>
          <w:sz w:val="24"/>
          <w:szCs w:val="24"/>
        </w:rPr>
        <w:t>第六条</w:t>
      </w:r>
      <w:r>
        <w:rPr>
          <w:rFonts w:hint="eastAsia" w:ascii="宋体" w:hAnsi="宋体"/>
          <w:sz w:val="24"/>
          <w:szCs w:val="24"/>
        </w:rPr>
        <w:t xml:space="preserve"> 仪器设备发生故障需维修，使用部门应填写《衢州学院仪器设备维修申报单》，经部门负责人同意后报实验室与设备管理处批准。在保修期内仪器设备的维修，由实验室与设备管理处或使用单位尽快联系生产厂家维修；保修期以外的仪器设备维修，由实验室与设备管理处或使用单位组织校内、厂家或其他人员修理。</w:t>
      </w:r>
    </w:p>
    <w:p>
      <w:pPr>
        <w:spacing w:line="480" w:lineRule="exact"/>
        <w:ind w:firstLine="472" w:firstLineChars="196"/>
        <w:rPr>
          <w:rFonts w:ascii="宋体" w:hAnsi="宋体"/>
          <w:sz w:val="24"/>
          <w:szCs w:val="24"/>
        </w:rPr>
      </w:pPr>
      <w:r>
        <w:rPr>
          <w:rFonts w:hint="eastAsia" w:ascii="宋体" w:hAnsi="宋体"/>
          <w:b/>
          <w:bCs/>
          <w:sz w:val="24"/>
          <w:szCs w:val="24"/>
        </w:rPr>
        <w:t>第七条</w:t>
      </w:r>
      <w:r>
        <w:rPr>
          <w:rFonts w:hint="eastAsia" w:ascii="宋体" w:hAnsi="宋体"/>
          <w:sz w:val="24"/>
          <w:szCs w:val="24"/>
        </w:rPr>
        <w:t xml:space="preserve"> 仪器设备送校外维修需办理邮寄、托运手续等，由使用部门负责。</w:t>
      </w:r>
    </w:p>
    <w:p>
      <w:pPr>
        <w:spacing w:line="480" w:lineRule="exact"/>
        <w:ind w:firstLine="472" w:firstLineChars="196"/>
        <w:rPr>
          <w:rFonts w:ascii="宋体" w:hAnsi="宋体"/>
          <w:sz w:val="24"/>
          <w:szCs w:val="24"/>
        </w:rPr>
      </w:pPr>
      <w:r>
        <w:rPr>
          <w:rFonts w:hint="eastAsia" w:ascii="宋体" w:hAnsi="宋体"/>
          <w:b/>
          <w:bCs/>
          <w:sz w:val="24"/>
          <w:szCs w:val="24"/>
        </w:rPr>
        <w:t>第八条</w:t>
      </w:r>
      <w:r>
        <w:rPr>
          <w:rFonts w:hint="eastAsia" w:ascii="宋体" w:hAnsi="宋体"/>
          <w:sz w:val="24"/>
          <w:szCs w:val="24"/>
        </w:rPr>
        <w:t xml:space="preserve"> 维修人员应认真填写维修记录，内容包括：仪器名称、编号、维修人员、维修时间、维修内容、所用部件元件、材料价目、修理费以及维修后仪器技术状况等。管理人员应在该仪器的固定资产卡片中注明维修情况。</w:t>
      </w:r>
    </w:p>
    <w:p>
      <w:pPr>
        <w:spacing w:line="480" w:lineRule="exact"/>
        <w:ind w:firstLine="472" w:firstLineChars="196"/>
        <w:rPr>
          <w:rFonts w:ascii="宋体" w:hAnsi="宋体"/>
          <w:sz w:val="24"/>
          <w:szCs w:val="24"/>
        </w:rPr>
      </w:pPr>
      <w:r>
        <w:rPr>
          <w:rFonts w:hint="eastAsia" w:ascii="宋体" w:hAnsi="宋体"/>
          <w:b/>
          <w:bCs/>
          <w:sz w:val="24"/>
          <w:szCs w:val="24"/>
        </w:rPr>
        <w:t>第九条</w:t>
      </w:r>
      <w:r>
        <w:rPr>
          <w:rFonts w:hint="eastAsia" w:ascii="宋体" w:hAnsi="宋体"/>
          <w:sz w:val="24"/>
          <w:szCs w:val="24"/>
        </w:rPr>
        <w:t xml:space="preserve"> 由使用单位组织技术人员对修好的仪器设备进行检测。</w:t>
      </w:r>
    </w:p>
    <w:p>
      <w:pPr>
        <w:spacing w:line="480" w:lineRule="exact"/>
        <w:ind w:firstLine="472" w:firstLineChars="196"/>
        <w:rPr>
          <w:rFonts w:ascii="宋体" w:hAnsi="宋体"/>
          <w:sz w:val="24"/>
          <w:szCs w:val="24"/>
        </w:rPr>
      </w:pPr>
      <w:r>
        <w:rPr>
          <w:rFonts w:hint="eastAsia" w:ascii="宋体" w:hAnsi="宋体"/>
          <w:b/>
          <w:bCs/>
          <w:sz w:val="24"/>
          <w:szCs w:val="24"/>
        </w:rPr>
        <w:t>第十条</w:t>
      </w:r>
      <w:r>
        <w:rPr>
          <w:rFonts w:hint="eastAsia" w:ascii="宋体" w:hAnsi="宋体"/>
          <w:sz w:val="24"/>
          <w:szCs w:val="24"/>
        </w:rPr>
        <w:t xml:space="preserve"> 大型仪器需维修时，由使用单位提出申请，估算维修经费，报实验室与设备管理处审核，如维修经费数额较大，须报分管校领导审批。经实验室与设备管理处、使用单位、修理单位三方协商，签订有关修理协议后，方可开始修理。修理完毕，由使用单位和实验室与设备管理处组织有关技术人员进行验收，填写验收报告，确定仪器已经修好，达到预期的目标后，按协议规定付款。仪器使用单位管理人员应在仪器档案中详细填写维修记录和维修验收记录。</w:t>
      </w:r>
    </w:p>
    <w:p>
      <w:pPr>
        <w:spacing w:line="480" w:lineRule="exact"/>
        <w:ind w:firstLine="472" w:firstLineChars="196"/>
        <w:rPr>
          <w:rFonts w:ascii="宋体" w:hAnsi="宋体"/>
          <w:sz w:val="24"/>
          <w:szCs w:val="24"/>
        </w:rPr>
      </w:pPr>
      <w:r>
        <w:rPr>
          <w:rFonts w:hint="eastAsia" w:ascii="宋体" w:hAnsi="宋体"/>
          <w:b/>
          <w:bCs/>
          <w:sz w:val="24"/>
          <w:szCs w:val="24"/>
        </w:rPr>
        <w:t>第十一条</w:t>
      </w:r>
      <w:r>
        <w:rPr>
          <w:rFonts w:hint="eastAsia" w:ascii="宋体" w:hAnsi="宋体"/>
          <w:sz w:val="24"/>
          <w:szCs w:val="24"/>
        </w:rPr>
        <w:t xml:space="preserve"> 一般仪器设备的维修费用由使用部门自行开支，大型仪器设备的维修费用从实验室与设备管理处的设备维修经费中支出。属于责任事故造成仪器设备维修的，其修理费用由当事人负责。</w:t>
      </w:r>
    </w:p>
    <w:p>
      <w:pPr>
        <w:spacing w:line="480" w:lineRule="exact"/>
        <w:ind w:firstLine="472" w:firstLineChars="196"/>
        <w:rPr>
          <w:rFonts w:ascii="宋体" w:hAnsi="宋体"/>
          <w:sz w:val="24"/>
          <w:szCs w:val="24"/>
        </w:rPr>
      </w:pPr>
      <w:r>
        <w:rPr>
          <w:rFonts w:hint="eastAsia" w:ascii="宋体" w:hAnsi="宋体"/>
          <w:b/>
          <w:bCs/>
          <w:sz w:val="24"/>
          <w:szCs w:val="24"/>
        </w:rPr>
        <w:t>第十二条</w:t>
      </w:r>
      <w:r>
        <w:rPr>
          <w:rFonts w:hint="eastAsia" w:ascii="宋体" w:hAnsi="宋体"/>
          <w:sz w:val="24"/>
          <w:szCs w:val="24"/>
        </w:rPr>
        <w:t xml:space="preserve"> 本办法自颁布之日起执行，由实验室与设备管理处负责解释。</w:t>
      </w:r>
    </w:p>
    <w:p>
      <w:pPr>
        <w:spacing w:line="480" w:lineRule="exact"/>
        <w:rPr>
          <w:rFonts w:ascii="宋体" w:hAnsi="宋体"/>
          <w:sz w:val="24"/>
        </w:rPr>
      </w:pPr>
    </w:p>
    <w:p>
      <w:bookmarkStart w:id="119" w:name="_Toc308515057"/>
      <w:bookmarkStart w:id="120" w:name="_Toc308528380"/>
      <w:bookmarkStart w:id="121" w:name="_Toc308530288"/>
    </w:p>
    <w:p/>
    <w:p/>
    <w:p/>
    <w:p/>
    <w:p/>
    <w:bookmarkEnd w:id="119"/>
    <w:bookmarkEnd w:id="120"/>
    <w:bookmarkEnd w:id="121"/>
    <w:p>
      <w:pPr>
        <w:rPr>
          <w:rFonts w:hAnsi="宋体"/>
        </w:rPr>
      </w:pPr>
    </w:p>
    <w:p>
      <w:pPr>
        <w:rPr>
          <w:rFonts w:hAnsi="宋体"/>
          <w:bCs/>
        </w:rPr>
      </w:pPr>
    </w:p>
    <w:p>
      <w:pPr>
        <w:widowControl/>
        <w:jc w:val="left"/>
        <w:rPr>
          <w:rFonts w:ascii="宋体" w:hAnsi="宋体"/>
          <w:bCs/>
          <w:sz w:val="24"/>
        </w:rPr>
      </w:pPr>
      <w:r>
        <w:rPr>
          <w:rFonts w:ascii="宋体" w:hAnsi="宋体"/>
          <w:bCs/>
          <w:sz w:val="24"/>
        </w:rPr>
        <w:br w:type="page"/>
      </w:r>
    </w:p>
    <w:p>
      <w:pPr>
        <w:pStyle w:val="2"/>
      </w:pPr>
      <w:bookmarkStart w:id="122" w:name="_Toc27483"/>
      <w:bookmarkStart w:id="123" w:name="_Toc16539"/>
      <w:bookmarkStart w:id="124" w:name="_Toc3066"/>
      <w:bookmarkStart w:id="125" w:name="_Toc18944"/>
      <w:bookmarkStart w:id="126" w:name="_Toc46402448"/>
      <w:r>
        <w:rPr>
          <w:rFonts w:hint="eastAsia"/>
        </w:rPr>
        <w:t>衢州学院仪器设备损坏、丢失赔偿办法</w:t>
      </w:r>
      <w:bookmarkEnd w:id="122"/>
      <w:bookmarkEnd w:id="123"/>
      <w:bookmarkEnd w:id="124"/>
      <w:bookmarkEnd w:id="125"/>
      <w:bookmarkEnd w:id="126"/>
    </w:p>
    <w:p>
      <w:pPr>
        <w:numPr>
          <w:ilvl w:val="0"/>
          <w:numId w:val="26"/>
        </w:numPr>
        <w:spacing w:line="480" w:lineRule="exact"/>
        <w:jc w:val="center"/>
        <w:rPr>
          <w:rFonts w:ascii="黑体" w:hAnsi="黑体" w:eastAsia="黑体" w:cs="黑体"/>
          <w:bCs/>
          <w:sz w:val="32"/>
          <w:szCs w:val="32"/>
        </w:rPr>
      </w:pPr>
      <w:bookmarkStart w:id="127" w:name="_Toc13450"/>
      <w:bookmarkStart w:id="128" w:name="_Toc19391"/>
      <w:bookmarkStart w:id="129" w:name="_Toc22124"/>
      <w:r>
        <w:rPr>
          <w:rFonts w:hint="eastAsia" w:ascii="黑体" w:hAnsi="黑体" w:eastAsia="黑体" w:cs="黑体"/>
          <w:bCs/>
          <w:sz w:val="32"/>
          <w:szCs w:val="32"/>
        </w:rPr>
        <w:t xml:space="preserve"> 总则</w:t>
      </w:r>
      <w:bookmarkEnd w:id="127"/>
      <w:bookmarkEnd w:id="128"/>
      <w:bookmarkEnd w:id="129"/>
    </w:p>
    <w:p>
      <w:pPr>
        <w:spacing w:line="480" w:lineRule="exact"/>
        <w:ind w:firstLine="472" w:firstLineChars="196"/>
        <w:rPr>
          <w:rFonts w:ascii="宋体" w:hAnsi="宋体"/>
          <w:bCs/>
          <w:sz w:val="24"/>
          <w:szCs w:val="24"/>
        </w:rPr>
      </w:pPr>
      <w:r>
        <w:rPr>
          <w:rFonts w:hint="eastAsia" w:ascii="宋体" w:hAnsi="宋体"/>
          <w:b/>
          <w:sz w:val="24"/>
          <w:szCs w:val="24"/>
        </w:rPr>
        <w:t>第一条</w:t>
      </w:r>
      <w:r>
        <w:rPr>
          <w:rFonts w:hint="eastAsia" w:ascii="宋体" w:hAnsi="宋体"/>
          <w:bCs/>
          <w:sz w:val="24"/>
          <w:szCs w:val="24"/>
        </w:rPr>
        <w:t xml:space="preserve"> 为贯彻勤俭办学的方针，增强师生员工爱护国有财产的责任心，维护学校仪器设备的完整、安全和有效使用，保证教学科研工作的顺利进行，结合学校实际，制定本办法。</w:t>
      </w:r>
    </w:p>
    <w:p>
      <w:pPr>
        <w:spacing w:line="480" w:lineRule="exact"/>
        <w:ind w:firstLine="472" w:firstLineChars="196"/>
        <w:rPr>
          <w:rFonts w:ascii="宋体" w:hAnsi="宋体"/>
          <w:bCs/>
          <w:sz w:val="24"/>
          <w:szCs w:val="24"/>
        </w:rPr>
      </w:pPr>
      <w:r>
        <w:rPr>
          <w:rFonts w:hint="eastAsia" w:ascii="宋体" w:hAnsi="宋体"/>
          <w:b/>
          <w:sz w:val="24"/>
          <w:szCs w:val="24"/>
        </w:rPr>
        <w:t>第二条</w:t>
      </w:r>
      <w:r>
        <w:rPr>
          <w:rFonts w:hint="eastAsia" w:ascii="宋体" w:hAnsi="宋体"/>
          <w:bCs/>
          <w:sz w:val="24"/>
          <w:szCs w:val="24"/>
        </w:rPr>
        <w:t xml:space="preserve"> 各单位要加强仪器设备管理，建立岗位责任制，严格保管制度，切实防止仪器设备的损坏和丢失。</w:t>
      </w:r>
    </w:p>
    <w:p>
      <w:pPr>
        <w:numPr>
          <w:ilvl w:val="0"/>
          <w:numId w:val="26"/>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赔偿界限</w:t>
      </w:r>
    </w:p>
    <w:p>
      <w:pPr>
        <w:spacing w:line="480" w:lineRule="exact"/>
        <w:ind w:firstLine="472" w:firstLineChars="196"/>
        <w:rPr>
          <w:rFonts w:ascii="宋体" w:hAnsi="宋体"/>
          <w:bCs/>
          <w:sz w:val="24"/>
          <w:szCs w:val="24"/>
        </w:rPr>
      </w:pPr>
      <w:r>
        <w:rPr>
          <w:rFonts w:hint="eastAsia" w:ascii="宋体" w:hAnsi="宋体"/>
          <w:b/>
          <w:sz w:val="24"/>
          <w:szCs w:val="24"/>
        </w:rPr>
        <w:t>第三条</w:t>
      </w:r>
      <w:r>
        <w:rPr>
          <w:rFonts w:hint="eastAsia" w:ascii="宋体" w:hAnsi="宋体"/>
          <w:bCs/>
          <w:sz w:val="24"/>
          <w:szCs w:val="24"/>
        </w:rPr>
        <w:t xml:space="preserve"> 下列主观原因造成仪器设备损坏或丢失，应予赔偿：</w:t>
      </w:r>
    </w:p>
    <w:p>
      <w:pPr>
        <w:spacing w:line="480" w:lineRule="exact"/>
        <w:ind w:firstLine="480" w:firstLineChars="200"/>
        <w:rPr>
          <w:rFonts w:ascii="宋体" w:hAnsi="宋体"/>
          <w:bCs/>
          <w:sz w:val="24"/>
          <w:szCs w:val="24"/>
        </w:rPr>
      </w:pPr>
      <w:r>
        <w:rPr>
          <w:rFonts w:hint="eastAsia" w:ascii="宋体" w:hAnsi="宋体"/>
          <w:bCs/>
          <w:sz w:val="24"/>
          <w:szCs w:val="24"/>
        </w:rPr>
        <w:t>（一）不听从指挥，违反操作规程，造成仪器设备损坏；</w:t>
      </w:r>
    </w:p>
    <w:p>
      <w:pPr>
        <w:spacing w:line="480" w:lineRule="exact"/>
        <w:ind w:firstLine="480" w:firstLineChars="200"/>
        <w:rPr>
          <w:rFonts w:ascii="宋体" w:hAnsi="宋体"/>
          <w:bCs/>
          <w:sz w:val="24"/>
          <w:szCs w:val="24"/>
        </w:rPr>
      </w:pPr>
      <w:r>
        <w:rPr>
          <w:rFonts w:hint="eastAsia" w:ascii="宋体" w:hAnsi="宋体"/>
          <w:bCs/>
          <w:sz w:val="24"/>
          <w:szCs w:val="24"/>
        </w:rPr>
        <w:t>（二）未经批准，擅自动用或拆卸仪器设备致损；</w:t>
      </w:r>
    </w:p>
    <w:p>
      <w:pPr>
        <w:spacing w:line="480" w:lineRule="exact"/>
        <w:ind w:firstLine="480" w:firstLineChars="200"/>
        <w:rPr>
          <w:rFonts w:ascii="宋体" w:hAnsi="宋体"/>
          <w:bCs/>
          <w:sz w:val="24"/>
          <w:szCs w:val="24"/>
        </w:rPr>
      </w:pPr>
      <w:r>
        <w:rPr>
          <w:rFonts w:hint="eastAsia" w:ascii="宋体" w:hAnsi="宋体"/>
          <w:bCs/>
          <w:sz w:val="24"/>
          <w:szCs w:val="24"/>
        </w:rPr>
        <w:t>（三）工作失职，指导错误，纠正不及时或保管不当造成损坏；</w:t>
      </w:r>
    </w:p>
    <w:p>
      <w:pPr>
        <w:spacing w:line="480" w:lineRule="exact"/>
        <w:ind w:firstLine="480" w:firstLineChars="200"/>
        <w:rPr>
          <w:rFonts w:ascii="宋体" w:hAnsi="宋体"/>
          <w:bCs/>
          <w:sz w:val="24"/>
          <w:szCs w:val="24"/>
        </w:rPr>
      </w:pPr>
      <w:r>
        <w:rPr>
          <w:rFonts w:hint="eastAsia" w:ascii="宋体" w:hAnsi="宋体"/>
          <w:bCs/>
          <w:sz w:val="24"/>
          <w:szCs w:val="24"/>
        </w:rPr>
        <w:t>（四）未经批准，擅自将仪器设备带出校外造成损坏或丢失。</w:t>
      </w:r>
    </w:p>
    <w:p>
      <w:pPr>
        <w:spacing w:line="480" w:lineRule="exact"/>
        <w:ind w:firstLine="472" w:firstLineChars="196"/>
        <w:rPr>
          <w:rFonts w:ascii="宋体" w:hAnsi="宋体"/>
          <w:bCs/>
          <w:sz w:val="24"/>
          <w:szCs w:val="24"/>
        </w:rPr>
      </w:pPr>
      <w:r>
        <w:rPr>
          <w:rFonts w:hint="eastAsia" w:ascii="宋体" w:hAnsi="宋体"/>
          <w:b/>
          <w:sz w:val="24"/>
          <w:szCs w:val="24"/>
        </w:rPr>
        <w:t>第四条</w:t>
      </w:r>
      <w:r>
        <w:rPr>
          <w:rFonts w:hint="eastAsia" w:ascii="宋体" w:hAnsi="宋体"/>
          <w:bCs/>
          <w:sz w:val="24"/>
          <w:szCs w:val="24"/>
        </w:rPr>
        <w:t xml:space="preserve"> 下列客观原因造成仪器设备损坏和丢失，经过鉴定和有关负责人证实，可不赔偿：</w:t>
      </w:r>
    </w:p>
    <w:p>
      <w:pPr>
        <w:spacing w:line="480" w:lineRule="exact"/>
        <w:ind w:firstLine="480" w:firstLineChars="200"/>
        <w:rPr>
          <w:rFonts w:ascii="宋体" w:hAnsi="宋体"/>
          <w:bCs/>
          <w:sz w:val="24"/>
          <w:szCs w:val="24"/>
        </w:rPr>
      </w:pPr>
      <w:r>
        <w:rPr>
          <w:rFonts w:hint="eastAsia" w:ascii="宋体" w:hAnsi="宋体"/>
          <w:bCs/>
          <w:sz w:val="24"/>
          <w:szCs w:val="24"/>
        </w:rPr>
        <w:t>（一）因实验操作本身的特殊性（包括仪器的检修、试运行等），导致损坏的不可预见性；</w:t>
      </w:r>
    </w:p>
    <w:p>
      <w:pPr>
        <w:spacing w:line="480" w:lineRule="exact"/>
        <w:ind w:firstLine="480" w:firstLineChars="200"/>
        <w:rPr>
          <w:rFonts w:ascii="宋体" w:hAnsi="宋体"/>
          <w:bCs/>
          <w:sz w:val="24"/>
          <w:szCs w:val="24"/>
        </w:rPr>
      </w:pPr>
      <w:r>
        <w:rPr>
          <w:rFonts w:hint="eastAsia" w:ascii="宋体" w:hAnsi="宋体"/>
          <w:bCs/>
          <w:sz w:val="24"/>
          <w:szCs w:val="24"/>
        </w:rPr>
        <w:t>（二）由于仪器设备本身的质量问题（如：缺陷、老化等），造成正常使用中的损坏；</w:t>
      </w:r>
    </w:p>
    <w:p>
      <w:pPr>
        <w:spacing w:line="480" w:lineRule="exact"/>
        <w:ind w:firstLine="480" w:firstLineChars="200"/>
        <w:rPr>
          <w:rFonts w:ascii="宋体" w:hAnsi="宋体"/>
          <w:bCs/>
          <w:sz w:val="24"/>
          <w:szCs w:val="24"/>
        </w:rPr>
      </w:pPr>
      <w:r>
        <w:rPr>
          <w:rFonts w:hint="eastAsia" w:ascii="宋体" w:hAnsi="宋体"/>
          <w:bCs/>
          <w:sz w:val="24"/>
          <w:szCs w:val="24"/>
        </w:rPr>
        <w:t>（三）由于其他的客观原因（如：停电、停水、外接电源故障等）造成意外损坏、损失。</w:t>
      </w:r>
    </w:p>
    <w:p>
      <w:pPr>
        <w:numPr>
          <w:ilvl w:val="0"/>
          <w:numId w:val="26"/>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赔偿办法</w:t>
      </w:r>
    </w:p>
    <w:p>
      <w:pPr>
        <w:spacing w:line="480" w:lineRule="exact"/>
        <w:ind w:firstLine="472" w:firstLineChars="196"/>
        <w:rPr>
          <w:rFonts w:ascii="宋体" w:hAnsi="宋体"/>
          <w:bCs/>
          <w:sz w:val="24"/>
          <w:szCs w:val="24"/>
        </w:rPr>
      </w:pPr>
      <w:r>
        <w:rPr>
          <w:rFonts w:hint="eastAsia" w:ascii="宋体" w:hAnsi="宋体"/>
          <w:b/>
          <w:sz w:val="24"/>
          <w:szCs w:val="24"/>
        </w:rPr>
        <w:t>第五条</w:t>
      </w:r>
      <w:r>
        <w:rPr>
          <w:rFonts w:hint="eastAsia" w:ascii="宋体" w:hAnsi="宋体"/>
          <w:bCs/>
          <w:sz w:val="24"/>
          <w:szCs w:val="24"/>
        </w:rPr>
        <w:t xml:space="preserve"> 对损坏、丢失仪器设备进行赔偿时，应当按新旧程度合理折旧计赔：机电设备、工具类按15-20年折旧；仪器、仪表类按10-15年折旧；电子产品类按5-8 年折旧。</w:t>
      </w:r>
    </w:p>
    <w:p>
      <w:pPr>
        <w:spacing w:line="480" w:lineRule="exact"/>
        <w:ind w:firstLine="472" w:firstLineChars="196"/>
        <w:rPr>
          <w:rFonts w:ascii="宋体" w:hAnsi="宋体"/>
          <w:bCs/>
          <w:sz w:val="24"/>
          <w:szCs w:val="24"/>
        </w:rPr>
      </w:pPr>
      <w:r>
        <w:rPr>
          <w:rFonts w:hint="eastAsia" w:ascii="宋体" w:hAnsi="宋体"/>
          <w:b/>
          <w:sz w:val="24"/>
          <w:szCs w:val="24"/>
        </w:rPr>
        <w:t>第六条</w:t>
      </w:r>
      <w:r>
        <w:rPr>
          <w:rFonts w:hint="eastAsia" w:ascii="宋体" w:hAnsi="宋体"/>
          <w:bCs/>
          <w:sz w:val="24"/>
          <w:szCs w:val="24"/>
        </w:rPr>
        <w:t xml:space="preserve">  对于仪器设备的损坏和丢失，由事故所在实验室主任及仪器设备管理人员协助学院（部门）领导进行必要的调查核实（额度较大或情节严重的应及时向公安机关报案），根据仪器设备的新旧程度、丢失原因和责任大小，对直接责任人处以仪器设备原值的20%-100%的赔款，并由当事人填写《衢州学院设备丢失、损坏事故报告单》，学院（部门）提出处理意见，三天内报实验室与设备管理处审批。</w:t>
      </w:r>
    </w:p>
    <w:p>
      <w:pPr>
        <w:spacing w:line="480" w:lineRule="exact"/>
        <w:ind w:firstLine="472" w:firstLineChars="196"/>
        <w:rPr>
          <w:rFonts w:ascii="宋体" w:hAnsi="宋体"/>
          <w:bCs/>
          <w:sz w:val="24"/>
          <w:szCs w:val="24"/>
        </w:rPr>
      </w:pPr>
      <w:r>
        <w:rPr>
          <w:rFonts w:hint="eastAsia" w:ascii="宋体" w:hAnsi="宋体"/>
          <w:b/>
          <w:sz w:val="24"/>
          <w:szCs w:val="24"/>
        </w:rPr>
        <w:t>第七条</w:t>
      </w:r>
      <w:r>
        <w:rPr>
          <w:rFonts w:hint="eastAsia" w:ascii="宋体" w:hAnsi="宋体"/>
          <w:bCs/>
          <w:sz w:val="24"/>
          <w:szCs w:val="24"/>
        </w:rPr>
        <w:t xml:space="preserve"> 大型仪器设备的损坏、丢失等重大事故，应先保护现场（额度较大或情节严重的应及时向公安机关、分管校领导和设备主管部门报告），由学院（部门）领导主持有关管理人员调查核实，并通知学校有关部门（保卫处、实验室与设备管理处），协同处理。相关材料报保卫处、实验室与设备管理处备案后，上报分管校领导。</w:t>
      </w:r>
    </w:p>
    <w:p>
      <w:pPr>
        <w:spacing w:line="480" w:lineRule="exact"/>
        <w:ind w:firstLine="472" w:firstLineChars="196"/>
        <w:rPr>
          <w:rFonts w:ascii="宋体" w:hAnsi="宋体"/>
          <w:bCs/>
          <w:sz w:val="24"/>
          <w:szCs w:val="24"/>
        </w:rPr>
      </w:pPr>
      <w:r>
        <w:rPr>
          <w:rFonts w:hint="eastAsia" w:ascii="宋体" w:hAnsi="宋体"/>
          <w:b/>
          <w:sz w:val="24"/>
          <w:szCs w:val="24"/>
        </w:rPr>
        <w:t>第八条</w:t>
      </w:r>
      <w:r>
        <w:rPr>
          <w:rFonts w:hint="eastAsia" w:ascii="宋体" w:hAnsi="宋体"/>
          <w:bCs/>
          <w:sz w:val="24"/>
          <w:szCs w:val="24"/>
        </w:rPr>
        <w:t xml:space="preserve"> 损坏或丢失设备的部件，应按部件的市价赔偿，局部损坏可修理的，只计算配件费和修理费用。</w:t>
      </w:r>
    </w:p>
    <w:p>
      <w:pPr>
        <w:spacing w:line="480" w:lineRule="exact"/>
        <w:ind w:firstLine="472" w:firstLineChars="196"/>
        <w:rPr>
          <w:rFonts w:ascii="宋体" w:hAnsi="宋体"/>
          <w:bCs/>
          <w:sz w:val="24"/>
          <w:szCs w:val="24"/>
        </w:rPr>
      </w:pPr>
      <w:r>
        <w:rPr>
          <w:rFonts w:hint="eastAsia" w:ascii="宋体" w:hAnsi="宋体"/>
          <w:b/>
          <w:sz w:val="24"/>
          <w:szCs w:val="24"/>
        </w:rPr>
        <w:t>第九条</w:t>
      </w:r>
      <w:r>
        <w:rPr>
          <w:rFonts w:hint="eastAsia" w:ascii="宋体" w:hAnsi="宋体"/>
          <w:bCs/>
          <w:sz w:val="24"/>
          <w:szCs w:val="24"/>
        </w:rPr>
        <w:t xml:space="preserve">  损坏、丢失仪器设备的责任事故，属于多人共同负责时，应根据责任大小分担赔偿。</w:t>
      </w:r>
    </w:p>
    <w:p>
      <w:pPr>
        <w:spacing w:line="480" w:lineRule="exact"/>
        <w:ind w:firstLine="472" w:firstLineChars="196"/>
        <w:rPr>
          <w:rFonts w:ascii="宋体" w:hAnsi="宋体"/>
          <w:bCs/>
          <w:sz w:val="24"/>
          <w:szCs w:val="24"/>
        </w:rPr>
      </w:pPr>
      <w:r>
        <w:rPr>
          <w:rFonts w:hint="eastAsia" w:ascii="宋体" w:hAnsi="宋体"/>
          <w:b/>
          <w:sz w:val="24"/>
          <w:szCs w:val="24"/>
        </w:rPr>
        <w:t>第十条</w:t>
      </w:r>
      <w:r>
        <w:rPr>
          <w:rFonts w:hint="eastAsia" w:ascii="宋体" w:hAnsi="宋体"/>
          <w:bCs/>
          <w:sz w:val="24"/>
          <w:szCs w:val="24"/>
        </w:rPr>
        <w:t xml:space="preserve"> 赔偿工作要在实验室与设备管理处批准后一星期内完成，对无故拖延，不执行赔偿处理决定的，可以采取适当的行政措施。</w:t>
      </w:r>
    </w:p>
    <w:p>
      <w:pPr>
        <w:spacing w:line="480" w:lineRule="exact"/>
        <w:rPr>
          <w:rFonts w:ascii="宋体" w:hAnsi="宋体"/>
          <w:bCs/>
          <w:sz w:val="24"/>
          <w:szCs w:val="24"/>
        </w:rPr>
      </w:pPr>
    </w:p>
    <w:p>
      <w:pPr>
        <w:numPr>
          <w:ilvl w:val="0"/>
          <w:numId w:val="26"/>
        </w:numPr>
        <w:spacing w:line="480" w:lineRule="exact"/>
        <w:jc w:val="center"/>
        <w:rPr>
          <w:rFonts w:ascii="黑体" w:hAnsi="黑体" w:eastAsia="黑体" w:cs="黑体"/>
          <w:bCs/>
          <w:sz w:val="32"/>
          <w:szCs w:val="32"/>
        </w:rPr>
      </w:pPr>
      <w:r>
        <w:rPr>
          <w:rFonts w:hint="eastAsia" w:ascii="黑体" w:hAnsi="黑体" w:eastAsia="黑体" w:cs="黑体"/>
          <w:bCs/>
          <w:sz w:val="32"/>
          <w:szCs w:val="32"/>
        </w:rPr>
        <w:t xml:space="preserve"> 附则</w:t>
      </w:r>
    </w:p>
    <w:p>
      <w:pPr>
        <w:spacing w:line="480" w:lineRule="exact"/>
        <w:rPr>
          <w:rFonts w:ascii="宋体" w:hAnsi="宋体"/>
          <w:bCs/>
          <w:sz w:val="24"/>
          <w:szCs w:val="24"/>
        </w:rPr>
      </w:pPr>
    </w:p>
    <w:p>
      <w:pPr>
        <w:spacing w:line="480" w:lineRule="exact"/>
        <w:ind w:firstLine="472" w:firstLineChars="196"/>
        <w:rPr>
          <w:rFonts w:ascii="宋体" w:hAnsi="宋体"/>
          <w:bCs/>
          <w:sz w:val="24"/>
          <w:szCs w:val="24"/>
        </w:rPr>
      </w:pPr>
      <w:r>
        <w:rPr>
          <w:rFonts w:hint="eastAsia" w:ascii="宋体" w:hAnsi="宋体"/>
          <w:b/>
          <w:sz w:val="24"/>
          <w:szCs w:val="24"/>
        </w:rPr>
        <w:t>第十一条</w:t>
      </w:r>
      <w:r>
        <w:rPr>
          <w:rFonts w:hint="eastAsia" w:ascii="宋体" w:hAnsi="宋体"/>
          <w:bCs/>
          <w:sz w:val="24"/>
          <w:szCs w:val="24"/>
        </w:rPr>
        <w:t xml:space="preserve">  本办法自颁布之日起执行，由实验室与设备管理处负责解释。</w:t>
      </w:r>
    </w:p>
    <w:p>
      <w:pPr>
        <w:spacing w:line="480" w:lineRule="exact"/>
        <w:ind w:right="-179" w:rightChars="-64" w:firstLine="480" w:firstLineChars="200"/>
        <w:rPr>
          <w:rFonts w:ascii="宋体" w:hAnsi="宋体"/>
          <w:sz w:val="24"/>
        </w:rPr>
      </w:pPr>
    </w:p>
    <w:p>
      <w:pPr>
        <w:spacing w:line="480" w:lineRule="exact"/>
        <w:ind w:right="-179" w:rightChars="-64" w:firstLine="480" w:firstLineChars="200"/>
        <w:rPr>
          <w:rFonts w:ascii="宋体" w:hAnsi="宋体"/>
          <w:sz w:val="24"/>
        </w:rPr>
      </w:pPr>
    </w:p>
    <w:p>
      <w:pPr>
        <w:spacing w:line="480" w:lineRule="exact"/>
        <w:ind w:right="-179" w:rightChars="-64" w:firstLine="480" w:firstLineChars="200"/>
        <w:rPr>
          <w:rFonts w:ascii="宋体" w:hAnsi="宋体"/>
          <w:sz w:val="24"/>
        </w:rPr>
      </w:pPr>
    </w:p>
    <w:p>
      <w:pPr>
        <w:spacing w:line="480" w:lineRule="exact"/>
        <w:ind w:right="-179" w:rightChars="-64" w:firstLine="480" w:firstLineChars="200"/>
        <w:rPr>
          <w:rFonts w:ascii="宋体" w:hAnsi="宋体"/>
          <w:sz w:val="24"/>
        </w:rPr>
      </w:pPr>
    </w:p>
    <w:p>
      <w:pPr>
        <w:widowControl/>
        <w:jc w:val="left"/>
      </w:pPr>
      <w:bookmarkStart w:id="130" w:name="_Toc11370"/>
      <w:bookmarkStart w:id="131" w:name="_Toc2443"/>
      <w:bookmarkStart w:id="132" w:name="_Toc17238"/>
      <w:bookmarkStart w:id="133" w:name="_Toc17405"/>
      <w:r>
        <w:rPr>
          <w:b/>
          <w:bCs/>
        </w:rPr>
        <w:br w:type="page"/>
      </w:r>
    </w:p>
    <w:bookmarkEnd w:id="130"/>
    <w:bookmarkEnd w:id="131"/>
    <w:bookmarkEnd w:id="132"/>
    <w:bookmarkEnd w:id="133"/>
    <w:p>
      <w:pPr>
        <w:pStyle w:val="2"/>
      </w:pPr>
      <w:bookmarkStart w:id="134" w:name="_Toc46402449"/>
      <w:r>
        <w:rPr>
          <w:rFonts w:hint="eastAsia"/>
        </w:rPr>
        <w:t>衢州学院采购评审专家管理暂行办法</w:t>
      </w:r>
      <w:bookmarkEnd w:id="134"/>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第一章</w:t>
      </w:r>
      <w:r>
        <w:rPr>
          <w:rFonts w:eastAsia="黑体" w:cs="Calibri"/>
          <w:bCs/>
          <w:kern w:val="0"/>
          <w:sz w:val="32"/>
          <w:szCs w:val="32"/>
        </w:rPr>
        <w:t>  </w:t>
      </w:r>
      <w:r>
        <w:rPr>
          <w:rFonts w:hint="eastAsia" w:ascii="黑体" w:hAnsi="黑体" w:eastAsia="黑体" w:cs="黑体"/>
          <w:bCs/>
          <w:kern w:val="0"/>
          <w:sz w:val="32"/>
          <w:szCs w:val="32"/>
        </w:rPr>
        <w:t>总则</w:t>
      </w:r>
    </w:p>
    <w:p>
      <w:pPr>
        <w:spacing w:line="480" w:lineRule="exact"/>
        <w:ind w:firstLine="480" w:firstLineChars="200"/>
        <w:rPr>
          <w:rFonts w:ascii="宋体" w:hAnsi="宋体"/>
          <w:color w:val="000000"/>
          <w:sz w:val="24"/>
          <w:szCs w:val="24"/>
        </w:rPr>
      </w:pPr>
      <w:r>
        <w:rPr>
          <w:rFonts w:hint="eastAsia" w:ascii="宋体" w:hAnsi="宋体"/>
          <w:color w:val="000000"/>
          <w:sz w:val="24"/>
          <w:szCs w:val="24"/>
        </w:rPr>
        <w:t>第一条  为加强学校采购评审活动管理，规范学校采购评审专家（以下简称“评审专家”）评审行为，提高学校采购工作质量和效率，根据《中华人民共和国政府采购法》和财政部《政府采购评审专家管理办法》、省财政厅《浙江省政府采购评审专家管理办法》等有关规定，结合学校采购工作实际，制定本办法。</w:t>
      </w:r>
    </w:p>
    <w:p>
      <w:pPr>
        <w:spacing w:line="480" w:lineRule="exact"/>
        <w:ind w:firstLine="480" w:firstLineChars="200"/>
        <w:rPr>
          <w:rFonts w:ascii="宋体" w:hAnsi="宋体"/>
          <w:color w:val="000000"/>
          <w:sz w:val="24"/>
          <w:szCs w:val="24"/>
        </w:rPr>
      </w:pPr>
      <w:r>
        <w:rPr>
          <w:rFonts w:hint="eastAsia" w:ascii="宋体" w:hAnsi="宋体"/>
          <w:color w:val="000000"/>
          <w:sz w:val="24"/>
          <w:szCs w:val="24"/>
        </w:rPr>
        <w:t>第二条  本办法所称评审专家，是指符合本办法规定的条件和要求、经学校采购工作办公室（以下简称“采购办”）审查认定、以独立身份参加按规定可由学校自行组织的采购项目评审、纳入学校评审专家库管理的人员。评审专家选聘、解聘、抽取、使用、监督管理适用本办法。</w:t>
      </w:r>
    </w:p>
    <w:p>
      <w:pPr>
        <w:spacing w:line="480" w:lineRule="exact"/>
        <w:ind w:firstLine="480" w:firstLineChars="200"/>
        <w:rPr>
          <w:rFonts w:ascii="宋体" w:hAnsi="宋体"/>
          <w:color w:val="000000"/>
          <w:sz w:val="24"/>
          <w:szCs w:val="24"/>
        </w:rPr>
      </w:pPr>
      <w:r>
        <w:rPr>
          <w:rFonts w:hint="eastAsia" w:ascii="宋体" w:hAnsi="宋体"/>
          <w:color w:val="000000"/>
          <w:sz w:val="24"/>
          <w:szCs w:val="24"/>
        </w:rPr>
        <w:t>第三条  评审专家从事或参加下列采购活动时适用本办法：</w:t>
      </w:r>
    </w:p>
    <w:p>
      <w:pPr>
        <w:spacing w:line="480" w:lineRule="exact"/>
        <w:ind w:firstLine="480" w:firstLineChars="200"/>
        <w:rPr>
          <w:rFonts w:ascii="宋体" w:hAnsi="宋体"/>
          <w:color w:val="000000"/>
          <w:sz w:val="24"/>
          <w:szCs w:val="24"/>
        </w:rPr>
      </w:pPr>
      <w:r>
        <w:rPr>
          <w:rFonts w:hint="eastAsia" w:ascii="宋体" w:hAnsi="宋体"/>
          <w:color w:val="000000"/>
          <w:sz w:val="24"/>
          <w:szCs w:val="24"/>
        </w:rPr>
        <w:t>（一）公开招标、邀请招标、竞争性谈判、竞争性磋商、询价、单一来源采购等活动的评审和咨询；</w:t>
      </w:r>
    </w:p>
    <w:p>
      <w:pPr>
        <w:spacing w:line="480" w:lineRule="exact"/>
        <w:ind w:firstLine="480" w:firstLineChars="200"/>
        <w:rPr>
          <w:rFonts w:ascii="宋体" w:hAnsi="宋体"/>
          <w:color w:val="000000"/>
          <w:sz w:val="24"/>
          <w:szCs w:val="24"/>
        </w:rPr>
      </w:pPr>
      <w:r>
        <w:rPr>
          <w:rFonts w:hint="eastAsia" w:ascii="宋体" w:hAnsi="宋体"/>
          <w:color w:val="000000"/>
          <w:sz w:val="24"/>
          <w:szCs w:val="24"/>
        </w:rPr>
        <w:t>（二）配合采购人或采购代理机构答复供应商的质疑，配合主管部门或纪检部门进行投诉处理工作；</w:t>
      </w:r>
    </w:p>
    <w:p>
      <w:pPr>
        <w:spacing w:line="480" w:lineRule="exact"/>
        <w:ind w:firstLine="480" w:firstLineChars="200"/>
        <w:rPr>
          <w:rFonts w:ascii="宋体" w:hAnsi="宋体" w:cs="仿宋_GB2312"/>
          <w:kern w:val="0"/>
          <w:sz w:val="24"/>
          <w:szCs w:val="24"/>
        </w:rPr>
      </w:pPr>
      <w:r>
        <w:rPr>
          <w:rFonts w:hint="eastAsia" w:ascii="宋体" w:hAnsi="宋体"/>
          <w:color w:val="000000"/>
          <w:sz w:val="24"/>
          <w:szCs w:val="24"/>
        </w:rPr>
        <w:t>（三）采购文件、采购需求、非公开招标方式适用情形以及进口产品采购项目的</w:t>
      </w:r>
      <w:r>
        <w:rPr>
          <w:rFonts w:hint="eastAsia" w:ascii="宋体" w:hAnsi="宋体" w:cs="仿宋_GB2312"/>
          <w:kern w:val="0"/>
          <w:sz w:val="24"/>
          <w:szCs w:val="24"/>
        </w:rPr>
        <w:t>论证。</w:t>
      </w:r>
    </w:p>
    <w:p>
      <w:pPr>
        <w:spacing w:line="560" w:lineRule="exact"/>
        <w:ind w:firstLine="477" w:firstLineChars="198"/>
        <w:rPr>
          <w:rFonts w:ascii="宋体" w:hAnsi="宋体" w:cs="仿宋_GB2312"/>
          <w:kern w:val="0"/>
          <w:sz w:val="24"/>
          <w:szCs w:val="24"/>
        </w:rPr>
      </w:pPr>
      <w:r>
        <w:rPr>
          <w:rFonts w:hint="eastAsia" w:ascii="宋体" w:hAnsi="宋体" w:cs="仿宋_GB2312"/>
          <w:b/>
          <w:kern w:val="0"/>
          <w:sz w:val="24"/>
          <w:szCs w:val="24"/>
        </w:rPr>
        <w:t>第四条</w:t>
      </w:r>
      <w:r>
        <w:rPr>
          <w:rFonts w:hint="eastAsia" w:ascii="宋体" w:hAnsi="宋体" w:cs="仿宋_GB2312"/>
          <w:kern w:val="0"/>
          <w:sz w:val="24"/>
          <w:szCs w:val="24"/>
        </w:rPr>
        <w:t xml:space="preserve">  评审专家的管理、使用，应当遵循“统一标准、监管分离、随机抽取”的原则。</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第二章</w:t>
      </w:r>
      <w:r>
        <w:rPr>
          <w:rFonts w:eastAsia="黑体" w:cs="Calibri"/>
          <w:bCs/>
          <w:kern w:val="0"/>
          <w:sz w:val="32"/>
          <w:szCs w:val="32"/>
        </w:rPr>
        <w:t>  </w:t>
      </w:r>
      <w:r>
        <w:rPr>
          <w:rFonts w:hint="eastAsia" w:ascii="黑体" w:hAnsi="黑体" w:eastAsia="黑体" w:cs="黑体"/>
          <w:bCs/>
          <w:kern w:val="0"/>
          <w:sz w:val="32"/>
          <w:szCs w:val="32"/>
        </w:rPr>
        <w:t>评审专家的选聘与解聘</w:t>
      </w:r>
    </w:p>
    <w:p>
      <w:pPr>
        <w:spacing w:line="560" w:lineRule="exact"/>
        <w:ind w:firstLine="482" w:firstLineChars="200"/>
        <w:rPr>
          <w:rFonts w:ascii="宋体" w:hAnsi="宋体" w:cs="仿宋_GB2312"/>
          <w:b/>
          <w:bCs/>
          <w:kern w:val="0"/>
          <w:sz w:val="24"/>
          <w:szCs w:val="24"/>
        </w:rPr>
      </w:pPr>
      <w:r>
        <w:rPr>
          <w:rFonts w:hint="eastAsia" w:ascii="宋体" w:hAnsi="宋体" w:cs="仿宋_GB2312"/>
          <w:b/>
          <w:kern w:val="0"/>
          <w:sz w:val="24"/>
          <w:szCs w:val="24"/>
        </w:rPr>
        <w:t>第五条</w:t>
      </w:r>
      <w:r>
        <w:rPr>
          <w:rFonts w:hint="eastAsia" w:ascii="宋体" w:hAnsi="宋体" w:cs="仿宋_GB2312"/>
          <w:kern w:val="0"/>
          <w:sz w:val="24"/>
          <w:szCs w:val="24"/>
        </w:rPr>
        <w:t>  评审专家的选聘应当同时具备以下条件：</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（一）具有良好的职业道德，廉洁自律，遵纪守法，无行贿、受贿、欺诈等不良信用记录；</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（二）具有中级专业技术职称或同等专业水平且从事相关领域工作满8年；或具有博士学位且从事相关领域工作满2年；或具有高级专业技术职称或同等专业水平；</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（三）熟悉政府采购相关政策法规；</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（四）承诺以独立身份参加评审工作，依法履行评审专家工作职责并承担相应法律责任的中国公民；</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（五）申请成为评审专家前三年内，无财政部《政府采购评审专家管理办法》第二十九条规定的不良行为记录；</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（六）上级主管部门要求的其他条件。</w:t>
      </w:r>
    </w:p>
    <w:p>
      <w:pPr>
        <w:spacing w:line="560" w:lineRule="exact"/>
        <w:ind w:firstLine="482" w:firstLineChars="200"/>
        <w:rPr>
          <w:rFonts w:ascii="宋体" w:hAnsi="宋体" w:cs="仿宋_GB2312"/>
          <w:color w:val="000000"/>
          <w:kern w:val="0"/>
          <w:sz w:val="24"/>
          <w:szCs w:val="24"/>
        </w:rPr>
      </w:pPr>
      <w:r>
        <w:rPr>
          <w:rFonts w:hint="eastAsia" w:ascii="宋体" w:hAnsi="宋体" w:cs="仿宋_GB2312"/>
          <w:b/>
          <w:color w:val="000000"/>
          <w:kern w:val="0"/>
          <w:sz w:val="24"/>
          <w:szCs w:val="24"/>
        </w:rPr>
        <w:t>第六条</w:t>
      </w:r>
      <w:r>
        <w:rPr>
          <w:rFonts w:hint="eastAsia" w:ascii="宋体" w:hAnsi="宋体" w:cs="仿宋_GB2312"/>
          <w:color w:val="000000"/>
          <w:kern w:val="0"/>
          <w:sz w:val="24"/>
          <w:szCs w:val="24"/>
        </w:rPr>
        <w:t xml:space="preserve">  学校评审专家由录入市级主管部门组建的评审专家库中的校内外评审专家（简称市级评审专家）和由学校按本办法第五条规定条件进行选聘录用的校内外评审专家组成（简称校级评审专家）。</w:t>
      </w:r>
    </w:p>
    <w:p>
      <w:pPr>
        <w:spacing w:line="560" w:lineRule="exact"/>
        <w:rPr>
          <w:rFonts w:ascii="宋体" w:hAnsi="宋体" w:cs="仿宋_GB2312"/>
          <w:b/>
          <w:bCs/>
          <w:kern w:val="0"/>
          <w:sz w:val="24"/>
          <w:szCs w:val="24"/>
        </w:rPr>
      </w:pPr>
      <w:r>
        <w:rPr>
          <w:rFonts w:hint="eastAsia" w:ascii="宋体" w:hAnsi="宋体" w:cs="仿宋_GB2312"/>
          <w:kern w:val="0"/>
          <w:sz w:val="24"/>
          <w:szCs w:val="24"/>
        </w:rPr>
        <w:t xml:space="preserve">    </w:t>
      </w:r>
      <w:r>
        <w:rPr>
          <w:rFonts w:hint="eastAsia" w:ascii="宋体" w:hAnsi="宋体" w:cs="仿宋_GB2312"/>
          <w:b/>
          <w:kern w:val="0"/>
          <w:sz w:val="24"/>
          <w:szCs w:val="24"/>
        </w:rPr>
        <w:t>第七条</w:t>
      </w:r>
      <w:r>
        <w:rPr>
          <w:rFonts w:hint="eastAsia" w:ascii="宋体" w:hAnsi="宋体" w:cs="仿宋_GB2312"/>
          <w:kern w:val="0"/>
          <w:sz w:val="24"/>
          <w:szCs w:val="24"/>
        </w:rPr>
        <w:t xml:space="preserve">  校级专家按下列程序进行选聘录用：</w:t>
      </w:r>
    </w:p>
    <w:p>
      <w:pPr>
        <w:spacing w:line="560" w:lineRule="exact"/>
        <w:rPr>
          <w:rFonts w:ascii="宋体" w:hAnsi="宋体" w:cs="仿宋_GB2312"/>
          <w:kern w:val="0"/>
          <w:sz w:val="24"/>
          <w:szCs w:val="24"/>
        </w:rPr>
      </w:pPr>
      <w:r>
        <w:rPr>
          <w:rFonts w:hint="eastAsia" w:ascii="宋体" w:hAnsi="宋体" w:cs="仿宋_GB2312"/>
          <w:kern w:val="0"/>
          <w:sz w:val="24"/>
          <w:szCs w:val="24"/>
        </w:rPr>
        <w:t xml:space="preserve">    （一）部门推荐；</w:t>
      </w:r>
    </w:p>
    <w:p>
      <w:pPr>
        <w:spacing w:line="560" w:lineRule="exact"/>
        <w:rPr>
          <w:rFonts w:ascii="宋体" w:hAnsi="宋体" w:cs="仿宋_GB2312"/>
          <w:kern w:val="0"/>
          <w:sz w:val="24"/>
          <w:szCs w:val="24"/>
        </w:rPr>
      </w:pPr>
      <w:r>
        <w:rPr>
          <w:rFonts w:hint="eastAsia" w:ascii="宋体" w:hAnsi="宋体" w:cs="仿宋_GB2312"/>
          <w:kern w:val="0"/>
          <w:sz w:val="24"/>
          <w:szCs w:val="24"/>
        </w:rPr>
        <w:t xml:space="preserve">    （二）资格审查；</w:t>
      </w:r>
    </w:p>
    <w:p>
      <w:pPr>
        <w:spacing w:line="560" w:lineRule="exact"/>
        <w:rPr>
          <w:rFonts w:ascii="宋体" w:hAnsi="宋体" w:cs="仿宋_GB2312"/>
          <w:kern w:val="0"/>
          <w:sz w:val="24"/>
          <w:szCs w:val="24"/>
        </w:rPr>
      </w:pPr>
      <w:r>
        <w:rPr>
          <w:rFonts w:hint="eastAsia" w:ascii="宋体" w:hAnsi="宋体" w:cs="仿宋_GB2312"/>
          <w:kern w:val="0"/>
          <w:sz w:val="24"/>
          <w:szCs w:val="24"/>
        </w:rPr>
        <w:t xml:space="preserve">    （三）培训考核；</w:t>
      </w:r>
    </w:p>
    <w:p>
      <w:pPr>
        <w:spacing w:line="560" w:lineRule="exact"/>
        <w:rPr>
          <w:rFonts w:ascii="宋体" w:hAnsi="宋体" w:cs="仿宋_GB2312"/>
          <w:kern w:val="0"/>
          <w:sz w:val="24"/>
          <w:szCs w:val="24"/>
        </w:rPr>
      </w:pPr>
      <w:r>
        <w:rPr>
          <w:rFonts w:hint="eastAsia" w:ascii="宋体" w:hAnsi="宋体" w:cs="仿宋_GB2312"/>
          <w:kern w:val="0"/>
          <w:sz w:val="24"/>
          <w:szCs w:val="24"/>
        </w:rPr>
        <w:t xml:space="preserve">    （四）选聘录用。</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第八条</w:t>
      </w:r>
      <w:r>
        <w:rPr>
          <w:rFonts w:hint="eastAsia" w:ascii="宋体" w:hAnsi="宋体" w:cs="仿宋_GB2312"/>
          <w:kern w:val="0"/>
          <w:sz w:val="24"/>
          <w:szCs w:val="24"/>
        </w:rPr>
        <w:t xml:space="preserve">  一经录入学校专家库的校级</w:t>
      </w:r>
      <w:r>
        <w:rPr>
          <w:rFonts w:hint="eastAsia" w:ascii="宋体" w:hAnsi="宋体" w:cs="仿宋_GB2312"/>
          <w:color w:val="000000"/>
          <w:kern w:val="0"/>
          <w:sz w:val="24"/>
          <w:szCs w:val="24"/>
        </w:rPr>
        <w:t>评审</w:t>
      </w:r>
      <w:r>
        <w:rPr>
          <w:rFonts w:hint="eastAsia" w:ascii="宋体" w:hAnsi="宋体" w:cs="仿宋_GB2312"/>
          <w:kern w:val="0"/>
          <w:sz w:val="24"/>
          <w:szCs w:val="24"/>
        </w:rPr>
        <w:t>专家，学校采购办应依据采购项目特点及评审专家专业特长分类建立相应的专家子库，及时更新完善评审专家个人档案。</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第九条</w:t>
      </w:r>
      <w:r>
        <w:rPr>
          <w:rFonts w:hint="eastAsia" w:ascii="宋体" w:hAnsi="宋体" w:cs="仿宋_GB2312"/>
          <w:kern w:val="0"/>
          <w:sz w:val="24"/>
          <w:szCs w:val="24"/>
        </w:rPr>
        <w:t xml:space="preserve">  校级</w:t>
      </w:r>
      <w:r>
        <w:rPr>
          <w:rFonts w:hint="eastAsia" w:ascii="宋体" w:hAnsi="宋体" w:cs="仿宋_GB2312"/>
          <w:color w:val="000000"/>
          <w:kern w:val="0"/>
          <w:sz w:val="24"/>
          <w:szCs w:val="24"/>
        </w:rPr>
        <w:t>评审</w:t>
      </w:r>
      <w:r>
        <w:rPr>
          <w:rFonts w:hint="eastAsia" w:ascii="宋体" w:hAnsi="宋体" w:cs="仿宋_GB2312"/>
          <w:kern w:val="0"/>
          <w:sz w:val="24"/>
          <w:szCs w:val="24"/>
        </w:rPr>
        <w:t xml:space="preserve">专家存在以下情形之一的，学校采购办应当将其予以解聘： </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（一）不符合本办法第五条规定条件的；</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（二）受到刑事处罚的；</w:t>
      </w:r>
    </w:p>
    <w:p>
      <w:pPr>
        <w:spacing w:line="560" w:lineRule="exact"/>
        <w:ind w:firstLine="240" w:firstLineChars="100"/>
        <w:rPr>
          <w:rFonts w:ascii="宋体" w:hAnsi="宋体" w:cs="仿宋_GB2312"/>
          <w:kern w:val="0"/>
          <w:sz w:val="24"/>
          <w:szCs w:val="24"/>
        </w:rPr>
      </w:pPr>
      <w:r>
        <w:rPr>
          <w:rFonts w:hint="eastAsia" w:ascii="宋体" w:hAnsi="宋体" w:cs="仿宋_GB2312"/>
          <w:kern w:val="0"/>
          <w:sz w:val="24"/>
          <w:szCs w:val="24"/>
        </w:rPr>
        <w:t> （三）两次年度考核不合格的；</w:t>
      </w:r>
    </w:p>
    <w:p>
      <w:pPr>
        <w:numPr>
          <w:ilvl w:val="0"/>
          <w:numId w:val="27"/>
        </w:numPr>
        <w:spacing w:line="560" w:lineRule="exact"/>
        <w:ind w:left="560" w:leftChars="200"/>
        <w:rPr>
          <w:rFonts w:ascii="宋体" w:hAnsi="宋体" w:cs="仿宋_GB2312"/>
          <w:kern w:val="0"/>
          <w:sz w:val="24"/>
          <w:szCs w:val="24"/>
        </w:rPr>
      </w:pPr>
      <w:r>
        <w:rPr>
          <w:rFonts w:hint="eastAsia" w:ascii="宋体" w:hAnsi="宋体" w:cs="仿宋_GB2312"/>
          <w:kern w:val="0"/>
          <w:sz w:val="24"/>
          <w:szCs w:val="24"/>
        </w:rPr>
        <w:t>因工作调动、离职等原因需退出专家库的；</w:t>
      </w:r>
    </w:p>
    <w:p>
      <w:pPr>
        <w:numPr>
          <w:ilvl w:val="0"/>
          <w:numId w:val="27"/>
        </w:numPr>
        <w:spacing w:line="560" w:lineRule="exact"/>
        <w:ind w:left="560" w:leftChars="200"/>
        <w:rPr>
          <w:rFonts w:ascii="宋体" w:hAnsi="宋体" w:cs="仿宋_GB2312"/>
          <w:kern w:val="0"/>
          <w:sz w:val="24"/>
          <w:szCs w:val="24"/>
        </w:rPr>
      </w:pPr>
      <w:r>
        <w:rPr>
          <w:rFonts w:hint="eastAsia" w:ascii="宋体" w:hAnsi="宋体" w:cs="仿宋_GB2312"/>
          <w:kern w:val="0"/>
          <w:sz w:val="24"/>
          <w:szCs w:val="24"/>
        </w:rPr>
        <w:t>存在其他违反评审纪律行为的。</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第三章</w:t>
      </w:r>
      <w:r>
        <w:rPr>
          <w:rFonts w:eastAsia="黑体" w:cs="Calibri"/>
          <w:bCs/>
          <w:kern w:val="0"/>
          <w:sz w:val="32"/>
          <w:szCs w:val="32"/>
        </w:rPr>
        <w:t>   </w:t>
      </w:r>
      <w:r>
        <w:rPr>
          <w:rFonts w:hint="eastAsia" w:ascii="黑体" w:hAnsi="黑体" w:eastAsia="黑体" w:cs="黑体"/>
          <w:bCs/>
          <w:kern w:val="0"/>
          <w:sz w:val="32"/>
          <w:szCs w:val="32"/>
        </w:rPr>
        <w:t>评审专家的权利与义务</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第十条</w:t>
      </w:r>
      <w:r>
        <w:rPr>
          <w:rFonts w:hint="eastAsia" w:ascii="宋体" w:hAnsi="宋体" w:cs="仿宋_GB2312"/>
          <w:kern w:val="0"/>
          <w:sz w:val="24"/>
          <w:szCs w:val="24"/>
        </w:rPr>
        <w:t>  评审专家在采购活动中享有以下权利:</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（一）对采购制度及相关情况的知情权；</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（二）对采购项目的独立评审权；</w:t>
      </w:r>
    </w:p>
    <w:p>
      <w:pPr>
        <w:spacing w:line="560" w:lineRule="exact"/>
        <w:ind w:firstLine="570"/>
        <w:rPr>
          <w:rFonts w:ascii="宋体" w:hAnsi="宋体" w:cs="仿宋_GB2312"/>
          <w:kern w:val="0"/>
          <w:sz w:val="24"/>
          <w:szCs w:val="24"/>
        </w:rPr>
      </w:pPr>
      <w:r>
        <w:rPr>
          <w:rFonts w:hint="eastAsia" w:ascii="宋体" w:hAnsi="宋体" w:cs="仿宋_GB2312"/>
          <w:kern w:val="0"/>
          <w:sz w:val="24"/>
          <w:szCs w:val="24"/>
        </w:rPr>
        <w:t>（三）对中标成交候选供应商的表决权；</w:t>
      </w:r>
    </w:p>
    <w:p>
      <w:pPr>
        <w:spacing w:line="560" w:lineRule="exact"/>
        <w:ind w:firstLine="570"/>
        <w:rPr>
          <w:rFonts w:ascii="宋体" w:hAnsi="宋体" w:cs="仿宋_GB2312"/>
          <w:kern w:val="0"/>
          <w:sz w:val="24"/>
          <w:szCs w:val="24"/>
        </w:rPr>
      </w:pPr>
      <w:r>
        <w:rPr>
          <w:rFonts w:hint="eastAsia" w:ascii="宋体" w:hAnsi="宋体" w:cs="仿宋_GB2312"/>
          <w:kern w:val="0"/>
          <w:sz w:val="24"/>
          <w:szCs w:val="24"/>
        </w:rPr>
        <w:t>（四）获得相应的评审、咨询和论证劳务报酬；</w:t>
      </w:r>
    </w:p>
    <w:p>
      <w:pPr>
        <w:spacing w:line="560" w:lineRule="exact"/>
        <w:rPr>
          <w:rFonts w:ascii="宋体" w:hAnsi="宋体" w:cs="仿宋_GB2312"/>
          <w:kern w:val="0"/>
          <w:sz w:val="24"/>
          <w:szCs w:val="24"/>
        </w:rPr>
      </w:pPr>
      <w:r>
        <w:rPr>
          <w:rFonts w:hint="eastAsia" w:ascii="宋体" w:hAnsi="宋体" w:cs="仿宋_GB2312"/>
          <w:kern w:val="0"/>
          <w:sz w:val="24"/>
          <w:szCs w:val="24"/>
        </w:rPr>
        <w:t>　　（五）法律、法规和规章规定的其他权利。</w:t>
      </w:r>
    </w:p>
    <w:p>
      <w:pPr>
        <w:spacing w:line="560" w:lineRule="exact"/>
        <w:ind w:firstLine="482" w:firstLineChars="200"/>
        <w:rPr>
          <w:rFonts w:ascii="宋体" w:hAnsi="宋体" w:cs="仿宋_GB2312"/>
          <w:b/>
          <w:bCs/>
          <w:kern w:val="0"/>
          <w:sz w:val="24"/>
          <w:szCs w:val="24"/>
        </w:rPr>
      </w:pPr>
      <w:r>
        <w:rPr>
          <w:rFonts w:hint="eastAsia" w:ascii="宋体" w:hAnsi="宋体" w:cs="仿宋_GB2312"/>
          <w:b/>
          <w:kern w:val="0"/>
          <w:sz w:val="24"/>
          <w:szCs w:val="24"/>
        </w:rPr>
        <w:t>第十一条  </w:t>
      </w:r>
      <w:r>
        <w:rPr>
          <w:rFonts w:hint="eastAsia" w:ascii="宋体" w:hAnsi="宋体" w:cs="仿宋_GB2312"/>
          <w:kern w:val="0"/>
          <w:sz w:val="24"/>
          <w:szCs w:val="24"/>
        </w:rPr>
        <w:t>评审专家在采购活动中承担以下义务：</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（一）准时参评。评审专家应邀并准时参加采购项目的评审工作。遇特殊情况不能出席或因故不能按时参加评审时，应及时请假，不得私下转托他人参加。</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（二）主动回避。在项目评审过程中，评审专家发现与本人存在利害关系的供应商参与采购活动或者已参加过该项目论证活动的，应主动提出回避。</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（三）廉洁自律。自觉遵守采购廉洁自律规定，不得接受采购供应商及其他相关当事人的宴请、财物或者有价证券等其他好处。</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（四）严守纪律。严格遵守采购工作纪律，不得对外透露方案咨询、论证情况以及与采购项目评审有关的情况：</w:t>
      </w:r>
    </w:p>
    <w:p>
      <w:pPr>
        <w:spacing w:line="560" w:lineRule="exact"/>
        <w:ind w:firstLine="570"/>
        <w:rPr>
          <w:rFonts w:ascii="宋体" w:hAnsi="宋体" w:cs="仿宋_GB2312"/>
          <w:kern w:val="0"/>
          <w:sz w:val="24"/>
          <w:szCs w:val="24"/>
        </w:rPr>
      </w:pPr>
      <w:r>
        <w:rPr>
          <w:rFonts w:hint="eastAsia" w:ascii="宋体" w:hAnsi="宋体" w:cs="仿宋_GB2312"/>
          <w:kern w:val="0"/>
          <w:sz w:val="24"/>
          <w:szCs w:val="24"/>
        </w:rPr>
        <w:t>1.评审小组组成人员（相关信息公开前）；</w:t>
      </w:r>
    </w:p>
    <w:p>
      <w:pPr>
        <w:spacing w:line="560" w:lineRule="exact"/>
        <w:ind w:firstLine="570"/>
        <w:rPr>
          <w:rFonts w:ascii="宋体" w:hAnsi="宋体" w:cs="仿宋_GB2312"/>
          <w:kern w:val="0"/>
          <w:sz w:val="24"/>
          <w:szCs w:val="24"/>
        </w:rPr>
      </w:pPr>
      <w:r>
        <w:rPr>
          <w:rFonts w:hint="eastAsia" w:ascii="宋体" w:hAnsi="宋体" w:cs="仿宋_GB2312"/>
          <w:kern w:val="0"/>
          <w:sz w:val="24"/>
          <w:szCs w:val="24"/>
        </w:rPr>
        <w:t>2.供应商采购响应文件评审比较情况；</w:t>
      </w:r>
    </w:p>
    <w:p>
      <w:pPr>
        <w:spacing w:line="560" w:lineRule="exact"/>
        <w:rPr>
          <w:rFonts w:ascii="宋体" w:hAnsi="宋体" w:cs="仿宋_GB2312"/>
          <w:kern w:val="0"/>
          <w:sz w:val="24"/>
          <w:szCs w:val="24"/>
        </w:rPr>
      </w:pPr>
      <w:r>
        <w:rPr>
          <w:rFonts w:hint="eastAsia" w:ascii="宋体" w:hAnsi="宋体" w:cs="仿宋_GB2312"/>
          <w:kern w:val="0"/>
          <w:sz w:val="24"/>
          <w:szCs w:val="24"/>
        </w:rPr>
        <w:t>　　3.法律法规规定的其他情况。</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（五）客观公正。自觉遵守职业道德，客观、独立地出具评审意见或咨询论证意见，并对所出具意见承担个人责任。评审时严禁出现下列行为：</w:t>
      </w:r>
    </w:p>
    <w:p>
      <w:pPr>
        <w:spacing w:line="560" w:lineRule="exact"/>
        <w:ind w:firstLine="240" w:firstLineChars="100"/>
        <w:rPr>
          <w:rFonts w:ascii="宋体" w:hAnsi="宋体" w:cs="仿宋_GB2312"/>
          <w:kern w:val="0"/>
          <w:sz w:val="24"/>
          <w:szCs w:val="24"/>
        </w:rPr>
      </w:pPr>
      <w:r>
        <w:rPr>
          <w:rFonts w:hint="eastAsia" w:ascii="宋体" w:hAnsi="宋体" w:cs="仿宋_GB2312"/>
          <w:kern w:val="0"/>
          <w:sz w:val="24"/>
          <w:szCs w:val="24"/>
        </w:rPr>
        <w:t>　1.在评审时发表不负责任的言论以影响其他评审专家公正评审；</w:t>
      </w:r>
    </w:p>
    <w:p>
      <w:pPr>
        <w:spacing w:line="560" w:lineRule="exact"/>
        <w:ind w:firstLine="570"/>
        <w:rPr>
          <w:rFonts w:ascii="宋体" w:hAnsi="宋体" w:cs="仿宋_GB2312"/>
          <w:kern w:val="0"/>
          <w:sz w:val="24"/>
          <w:szCs w:val="24"/>
        </w:rPr>
      </w:pPr>
      <w:r>
        <w:rPr>
          <w:rFonts w:hint="eastAsia" w:ascii="宋体" w:hAnsi="宋体" w:cs="仿宋_GB2312"/>
          <w:kern w:val="0"/>
          <w:sz w:val="24"/>
          <w:szCs w:val="24"/>
        </w:rPr>
        <w:t>2.在澄清、说明或补正时，故意诱导有关供应商表达与其采购响应文件不同的意见；</w:t>
      </w:r>
    </w:p>
    <w:p>
      <w:pPr>
        <w:spacing w:line="560" w:lineRule="exact"/>
        <w:ind w:firstLine="570"/>
        <w:rPr>
          <w:rFonts w:ascii="宋体" w:hAnsi="宋体" w:cs="仿宋_GB2312"/>
          <w:kern w:val="0"/>
          <w:sz w:val="24"/>
          <w:szCs w:val="24"/>
        </w:rPr>
      </w:pPr>
      <w:r>
        <w:rPr>
          <w:rFonts w:hint="eastAsia" w:ascii="宋体" w:hAnsi="宋体" w:cs="仿宋_GB2312"/>
          <w:kern w:val="0"/>
          <w:sz w:val="24"/>
          <w:szCs w:val="24"/>
        </w:rPr>
        <w:t>3.不按采购文件规定的标准和方法，以及供应商的响应承诺为依据进行评审；</w:t>
      </w:r>
    </w:p>
    <w:p>
      <w:pPr>
        <w:spacing w:line="560" w:lineRule="exact"/>
        <w:ind w:firstLine="360" w:firstLineChars="150"/>
        <w:rPr>
          <w:rFonts w:ascii="宋体" w:hAnsi="宋体" w:cs="仿宋_GB2312"/>
          <w:kern w:val="0"/>
          <w:sz w:val="24"/>
          <w:szCs w:val="24"/>
        </w:rPr>
      </w:pPr>
      <w:r>
        <w:rPr>
          <w:rFonts w:hint="eastAsia" w:ascii="宋体" w:hAnsi="宋体" w:cs="仿宋_GB2312"/>
          <w:kern w:val="0"/>
          <w:sz w:val="24"/>
          <w:szCs w:val="24"/>
        </w:rPr>
        <w:t> 4.无故不出具评审意见并拒绝签字。</w:t>
      </w:r>
    </w:p>
    <w:p>
      <w:pPr>
        <w:spacing w:line="560" w:lineRule="exact"/>
        <w:ind w:firstLine="360" w:firstLineChars="150"/>
        <w:rPr>
          <w:rFonts w:ascii="宋体" w:hAnsi="宋体" w:cs="仿宋_GB2312"/>
          <w:kern w:val="0"/>
          <w:sz w:val="24"/>
          <w:szCs w:val="24"/>
        </w:rPr>
      </w:pPr>
      <w:r>
        <w:rPr>
          <w:rFonts w:hint="eastAsia" w:ascii="宋体" w:hAnsi="宋体" w:cs="仿宋_GB2312"/>
          <w:kern w:val="0"/>
          <w:sz w:val="24"/>
          <w:szCs w:val="24"/>
        </w:rPr>
        <w:t>（六）其他义务。</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1.配合学校处理供应商的质疑、投诉等事宜，接受并解答采购人或采购监管部门对评审活动或其评审意见的咨询或质疑；</w:t>
      </w:r>
    </w:p>
    <w:p>
      <w:pPr>
        <w:spacing w:line="560" w:lineRule="exact"/>
        <w:rPr>
          <w:rFonts w:ascii="宋体" w:hAnsi="宋体" w:cs="仿宋_GB2312"/>
          <w:kern w:val="0"/>
          <w:sz w:val="24"/>
          <w:szCs w:val="24"/>
        </w:rPr>
      </w:pPr>
      <w:r>
        <w:rPr>
          <w:rFonts w:hint="eastAsia" w:ascii="宋体" w:hAnsi="宋体" w:cs="仿宋_GB2312"/>
          <w:kern w:val="0"/>
          <w:sz w:val="24"/>
          <w:szCs w:val="24"/>
        </w:rPr>
        <w:t>　  2.参加学校组织的各类采购业务培训；</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3.法律、法规和规章规定的其他义务。</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第四章</w:t>
      </w:r>
      <w:r>
        <w:rPr>
          <w:rFonts w:eastAsia="黑体" w:cs="Calibri"/>
          <w:bCs/>
          <w:kern w:val="0"/>
          <w:sz w:val="32"/>
          <w:szCs w:val="32"/>
        </w:rPr>
        <w:t>   </w:t>
      </w:r>
      <w:r>
        <w:rPr>
          <w:rFonts w:hint="eastAsia" w:ascii="黑体" w:hAnsi="黑体" w:eastAsia="黑体" w:cs="黑体"/>
          <w:bCs/>
          <w:kern w:val="0"/>
          <w:sz w:val="32"/>
          <w:szCs w:val="32"/>
        </w:rPr>
        <w:t>评审专家的抽取与使用</w:t>
      </w:r>
    </w:p>
    <w:p>
      <w:pPr>
        <w:spacing w:line="560" w:lineRule="exact"/>
        <w:ind w:firstLine="482" w:firstLineChars="200"/>
        <w:rPr>
          <w:rFonts w:ascii="宋体" w:hAnsi="宋体" w:cs="仿宋_GB2312"/>
          <w:b/>
          <w:bCs/>
          <w:kern w:val="0"/>
          <w:sz w:val="24"/>
          <w:szCs w:val="24"/>
        </w:rPr>
      </w:pPr>
      <w:r>
        <w:rPr>
          <w:rFonts w:hint="eastAsia" w:ascii="宋体" w:hAnsi="宋体" w:cs="仿宋_GB2312"/>
          <w:b/>
          <w:kern w:val="0"/>
          <w:sz w:val="24"/>
          <w:szCs w:val="24"/>
        </w:rPr>
        <w:t>第十二条</w:t>
      </w:r>
      <w:r>
        <w:rPr>
          <w:rFonts w:hint="eastAsia" w:ascii="宋体" w:hAnsi="宋体" w:cs="仿宋_GB2312"/>
          <w:kern w:val="0"/>
          <w:sz w:val="24"/>
          <w:szCs w:val="24"/>
        </w:rPr>
        <w:t>　评审专家由学校采购办从专家库（或子库）中随机抽取产生，任何部门和个人不得指定评审专家及干预评审专家的抽取工作。</w:t>
      </w:r>
    </w:p>
    <w:p>
      <w:pPr>
        <w:adjustRightInd w:val="0"/>
        <w:snapToGrid w:val="0"/>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第十三条</w:t>
      </w:r>
      <w:r>
        <w:rPr>
          <w:rFonts w:hint="eastAsia" w:ascii="宋体" w:hAnsi="宋体" w:cs="仿宋_GB2312"/>
          <w:kern w:val="0"/>
          <w:sz w:val="24"/>
          <w:szCs w:val="24"/>
        </w:rPr>
        <w:t xml:space="preserve">  采购管理与监督工作人员、采购项目负责人不得作为评审专家参与采购项目的评审活动；采购代理机构工作人员不得参加由本机构代理的采购项目的评审。</w:t>
      </w:r>
    </w:p>
    <w:p>
      <w:pPr>
        <w:adjustRightInd w:val="0"/>
        <w:snapToGrid w:val="0"/>
        <w:spacing w:line="560" w:lineRule="exact"/>
        <w:ind w:firstLine="482" w:firstLineChars="200"/>
        <w:rPr>
          <w:rFonts w:ascii="宋体" w:hAnsi="宋体" w:cs="仿宋_GB2312"/>
          <w:color w:val="000000"/>
          <w:kern w:val="0"/>
          <w:sz w:val="24"/>
          <w:szCs w:val="24"/>
        </w:rPr>
      </w:pPr>
      <w:r>
        <w:rPr>
          <w:rFonts w:hint="eastAsia" w:ascii="宋体" w:hAnsi="宋体" w:cs="仿宋_GB2312"/>
          <w:b/>
          <w:color w:val="000000"/>
          <w:kern w:val="0"/>
          <w:sz w:val="24"/>
          <w:szCs w:val="24"/>
        </w:rPr>
        <w:t>第十四条</w:t>
      </w:r>
      <w:r>
        <w:rPr>
          <w:rFonts w:hint="eastAsia" w:ascii="宋体" w:hAnsi="宋体" w:cs="仿宋_GB2312"/>
          <w:color w:val="000000"/>
          <w:kern w:val="0"/>
          <w:sz w:val="24"/>
          <w:szCs w:val="24"/>
        </w:rPr>
        <w:t xml:space="preserve">  评审专家的抽取与通知原则上应在规定场所内进行，抽取开始时间一般为评审活动开始的前一天，最多不得早于前二天。评审专家名单在评审结果公告前应当保密，不得泄露评审专家的个人情况。被通知参加评审工作的专家不得询问评审项目及相关情况。</w:t>
      </w:r>
    </w:p>
    <w:p>
      <w:pPr>
        <w:adjustRightInd w:val="0"/>
        <w:snapToGrid w:val="0"/>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第十五条</w:t>
      </w:r>
      <w:r>
        <w:rPr>
          <w:rFonts w:hint="eastAsia" w:ascii="宋体" w:hAnsi="宋体" w:cs="仿宋_GB2312"/>
          <w:kern w:val="0"/>
          <w:sz w:val="24"/>
          <w:szCs w:val="24"/>
        </w:rPr>
        <w:t xml:space="preserve">  评审专家到场后，由学校采购办工作人员对其身份进行确认，并在评审活动开始前宣布评审工作纪律，同时将记载履行情况的《衢州学院采购项目记录表》作为采购文件一并存档。</w:t>
      </w:r>
    </w:p>
    <w:p>
      <w:pPr>
        <w:adjustRightInd w:val="0"/>
        <w:snapToGrid w:val="0"/>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第十六条</w:t>
      </w:r>
      <w:r>
        <w:rPr>
          <w:rFonts w:hint="eastAsia" w:ascii="宋体" w:hAnsi="宋体" w:cs="仿宋_GB2312"/>
          <w:kern w:val="0"/>
          <w:sz w:val="24"/>
          <w:szCs w:val="24"/>
        </w:rPr>
        <w:t xml:space="preserve">  评审活动实行封闭式管理，与评审活动无关人员不得进入封闭评审场所。评审专家在未完成评审工作之前，不得使用通讯工具，不得擅自离开评审现场。</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第十七条</w:t>
      </w:r>
      <w:r>
        <w:rPr>
          <w:rFonts w:hint="eastAsia" w:ascii="宋体" w:hAnsi="宋体" w:cs="仿宋_GB2312"/>
          <w:kern w:val="0"/>
          <w:sz w:val="24"/>
          <w:szCs w:val="24"/>
        </w:rPr>
        <w:t>  评审专家应当严格遵守评审工作纪律，按照“客观、公正、审慎”的原则，根据采购文件规定的评审程序、评审方法和评审标准进行独立评审。</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第十八条</w:t>
      </w:r>
      <w:r>
        <w:rPr>
          <w:rFonts w:hint="eastAsia" w:ascii="宋体" w:hAnsi="宋体" w:cs="仿宋_GB2312"/>
          <w:kern w:val="0"/>
          <w:sz w:val="24"/>
          <w:szCs w:val="24"/>
        </w:rPr>
        <w:t xml:space="preserve">  评审工作结束后，评审专家应当在评审报告上签字确认，对自己的评审意见承担法律责任。对评审报告有异议的，应当在评审报告上签署不同意见并说明理由，否则视为同意评审报告。</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第五章</w:t>
      </w:r>
      <w:r>
        <w:rPr>
          <w:rFonts w:eastAsia="黑体" w:cs="Calibri"/>
          <w:bCs/>
          <w:kern w:val="0"/>
          <w:sz w:val="32"/>
          <w:szCs w:val="32"/>
        </w:rPr>
        <w:t>   </w:t>
      </w:r>
      <w:r>
        <w:rPr>
          <w:rFonts w:hint="eastAsia" w:ascii="黑体" w:hAnsi="黑体" w:eastAsia="黑体" w:cs="黑体"/>
          <w:bCs/>
          <w:kern w:val="0"/>
          <w:sz w:val="32"/>
          <w:szCs w:val="32"/>
        </w:rPr>
        <w:t>评审专家的管理与考核</w:t>
      </w:r>
    </w:p>
    <w:p>
      <w:pPr>
        <w:spacing w:line="560" w:lineRule="exact"/>
        <w:ind w:firstLine="600"/>
        <w:rPr>
          <w:rFonts w:ascii="宋体" w:hAnsi="宋体" w:cs="仿宋_GB2312"/>
          <w:kern w:val="0"/>
          <w:sz w:val="24"/>
          <w:szCs w:val="24"/>
        </w:rPr>
      </w:pPr>
      <w:r>
        <w:rPr>
          <w:rFonts w:hint="eastAsia" w:ascii="宋体" w:hAnsi="宋体" w:cs="仿宋_GB2312"/>
          <w:b/>
          <w:kern w:val="0"/>
          <w:sz w:val="24"/>
          <w:szCs w:val="24"/>
        </w:rPr>
        <w:t>第十九条</w:t>
      </w:r>
      <w:r>
        <w:rPr>
          <w:rFonts w:hint="eastAsia" w:ascii="宋体" w:hAnsi="宋体" w:cs="仿宋_GB2312"/>
          <w:kern w:val="0"/>
          <w:sz w:val="24"/>
          <w:szCs w:val="24"/>
        </w:rPr>
        <w:t xml:space="preserve">  学校采购办负责校级评审专家组建、培训及管理，并自觉接受学校纪检部门监督。</w:t>
      </w:r>
    </w:p>
    <w:p>
      <w:pPr>
        <w:spacing w:line="560" w:lineRule="exact"/>
        <w:ind w:firstLine="600"/>
        <w:rPr>
          <w:rFonts w:ascii="宋体" w:hAnsi="宋体" w:cs="仿宋_GB2312"/>
          <w:kern w:val="0"/>
          <w:sz w:val="24"/>
          <w:szCs w:val="24"/>
        </w:rPr>
      </w:pPr>
      <w:r>
        <w:rPr>
          <w:rFonts w:hint="eastAsia" w:ascii="宋体" w:hAnsi="宋体" w:cs="仿宋_GB2312"/>
          <w:b/>
          <w:kern w:val="0"/>
          <w:sz w:val="24"/>
          <w:szCs w:val="24"/>
        </w:rPr>
        <w:t xml:space="preserve">第二十条  </w:t>
      </w:r>
      <w:r>
        <w:rPr>
          <w:rFonts w:hint="eastAsia" w:ascii="宋体" w:hAnsi="宋体" w:cs="仿宋_GB2312"/>
          <w:kern w:val="0"/>
          <w:sz w:val="24"/>
          <w:szCs w:val="24"/>
        </w:rPr>
        <w:t>学校采购办应当适时组织校级评审专家进行有关采购法律法规和政策的学习，切实提高评审专家业务水平和职业道德素质；建立校级评审专家考核评价机制，实行年度考核制，及时更新完善评审专家个人档案。</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第二十一条</w:t>
      </w:r>
      <w:r>
        <w:rPr>
          <w:rFonts w:hint="eastAsia" w:ascii="宋体" w:hAnsi="宋体" w:cs="仿宋_GB2312"/>
          <w:kern w:val="0"/>
          <w:sz w:val="24"/>
          <w:szCs w:val="24"/>
        </w:rPr>
        <w:t xml:space="preserve">  校级评审专家有下列情形之一的，其年度考核按不合格认定：</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（一）无特殊原因，不参加学校组织的培训活动，或培训考核成绩不合格的；</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 xml:space="preserve">（二）一年中因各种原因未能参加评审工作累计四次及以上，或迟到、早退十分钟以上累计三次及以上，或经核实评审时存在故意发表倾向性意见的； </w:t>
      </w:r>
    </w:p>
    <w:p>
      <w:pPr>
        <w:spacing w:line="560" w:lineRule="exact"/>
        <w:ind w:firstLine="480" w:firstLineChars="200"/>
        <w:rPr>
          <w:rFonts w:ascii="宋体" w:hAnsi="宋体" w:cs="仿宋_GB2312"/>
          <w:kern w:val="0"/>
          <w:sz w:val="24"/>
          <w:szCs w:val="24"/>
        </w:rPr>
      </w:pPr>
      <w:r>
        <w:rPr>
          <w:rFonts w:hint="eastAsia" w:ascii="宋体" w:hAnsi="宋体" w:cs="仿宋_GB2312"/>
          <w:kern w:val="0"/>
          <w:sz w:val="24"/>
          <w:szCs w:val="24"/>
        </w:rPr>
        <w:t>（三）评审结论经复议证实存在其他过失评审行为，并造成一定后果的。</w:t>
      </w:r>
    </w:p>
    <w:p>
      <w:pPr>
        <w:spacing w:line="560" w:lineRule="exact"/>
        <w:ind w:firstLine="482" w:firstLineChars="200"/>
        <w:rPr>
          <w:rFonts w:ascii="宋体" w:hAnsi="宋体" w:cs="仿宋_GB2312"/>
          <w:kern w:val="0"/>
          <w:sz w:val="24"/>
          <w:szCs w:val="24"/>
        </w:rPr>
      </w:pPr>
      <w:r>
        <w:rPr>
          <w:rFonts w:hint="eastAsia" w:ascii="宋体" w:hAnsi="宋体" w:cs="仿宋_GB2312"/>
          <w:b/>
          <w:color w:val="000000"/>
          <w:kern w:val="0"/>
          <w:sz w:val="24"/>
          <w:szCs w:val="24"/>
        </w:rPr>
        <w:t>第二十二条</w:t>
      </w:r>
      <w:r>
        <w:rPr>
          <w:rFonts w:hint="eastAsia" w:ascii="宋体" w:hAnsi="宋体" w:cs="仿宋_GB2312"/>
          <w:color w:val="FF0000"/>
          <w:kern w:val="0"/>
          <w:sz w:val="24"/>
          <w:szCs w:val="24"/>
        </w:rPr>
        <w:t xml:space="preserve">  </w:t>
      </w:r>
      <w:r>
        <w:rPr>
          <w:rFonts w:hint="eastAsia" w:ascii="宋体" w:hAnsi="宋体" w:cs="仿宋_GB2312"/>
          <w:kern w:val="0"/>
          <w:sz w:val="24"/>
          <w:szCs w:val="24"/>
        </w:rPr>
        <w:t>校级评审专家年度考核不合格者，校内专家暂停下一年度专家评审资格，校外专家取消其专家评审资格。</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第二十三条</w:t>
      </w:r>
      <w:r>
        <w:rPr>
          <w:rFonts w:hint="eastAsia" w:ascii="宋体" w:hAnsi="宋体" w:cs="仿宋_GB2312"/>
          <w:b/>
          <w:color w:val="FF0000"/>
          <w:kern w:val="0"/>
          <w:sz w:val="24"/>
          <w:szCs w:val="24"/>
        </w:rPr>
        <w:t xml:space="preserve">  </w:t>
      </w:r>
      <w:r>
        <w:rPr>
          <w:rFonts w:hint="eastAsia" w:ascii="宋体" w:hAnsi="宋体" w:cs="仿宋_GB2312"/>
          <w:kern w:val="0"/>
          <w:sz w:val="24"/>
          <w:szCs w:val="24"/>
        </w:rPr>
        <w:t>校级评审专家在采购评审活动中发生违纪违规行为的，除其年度考核按不合格认定外，校内专家按党纪政纪规定追究责任，校外专家取消其专家评审资格。</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 xml:space="preserve">第二十四条  </w:t>
      </w:r>
      <w:r>
        <w:rPr>
          <w:rFonts w:hint="eastAsia" w:ascii="宋体" w:hAnsi="宋体" w:cs="仿宋_GB2312"/>
          <w:kern w:val="0"/>
          <w:sz w:val="24"/>
          <w:szCs w:val="24"/>
        </w:rPr>
        <w:t>评审专家在采购评审过程中涉及违法行为且情节较为严重的，按规定移送有关部门追究相应法律责任。</w:t>
      </w:r>
    </w:p>
    <w:p>
      <w:pPr>
        <w:spacing w:line="56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第六章</w:t>
      </w:r>
      <w:r>
        <w:rPr>
          <w:rFonts w:eastAsia="黑体" w:cs="Calibri"/>
          <w:bCs/>
          <w:kern w:val="0"/>
          <w:sz w:val="32"/>
          <w:szCs w:val="32"/>
        </w:rPr>
        <w:t>  </w:t>
      </w:r>
      <w:r>
        <w:rPr>
          <w:rFonts w:hint="eastAsia" w:ascii="黑体" w:hAnsi="黑体" w:eastAsia="黑体" w:cs="黑体"/>
          <w:bCs/>
          <w:kern w:val="0"/>
          <w:sz w:val="32"/>
          <w:szCs w:val="32"/>
        </w:rPr>
        <w:t>附则</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第二十五条</w:t>
      </w:r>
      <w:r>
        <w:rPr>
          <w:rFonts w:hint="eastAsia" w:ascii="宋体" w:hAnsi="宋体" w:cs="仿宋_GB2312"/>
          <w:kern w:val="0"/>
          <w:sz w:val="24"/>
          <w:szCs w:val="24"/>
        </w:rPr>
        <w:t xml:space="preserve">  国家、省、市相关法律法规有明确规定的，从其规定执行。</w:t>
      </w:r>
    </w:p>
    <w:p>
      <w:pPr>
        <w:spacing w:line="560" w:lineRule="exact"/>
        <w:ind w:firstLine="482" w:firstLineChars="200"/>
        <w:rPr>
          <w:rFonts w:ascii="宋体" w:hAnsi="宋体" w:cs="仿宋_GB2312"/>
          <w:kern w:val="0"/>
          <w:sz w:val="24"/>
          <w:szCs w:val="24"/>
        </w:rPr>
      </w:pPr>
      <w:r>
        <w:rPr>
          <w:rFonts w:hint="eastAsia" w:ascii="宋体" w:hAnsi="宋体" w:cs="仿宋_GB2312"/>
          <w:b/>
          <w:kern w:val="0"/>
          <w:sz w:val="24"/>
          <w:szCs w:val="24"/>
        </w:rPr>
        <w:t xml:space="preserve">第二十六条  </w:t>
      </w:r>
      <w:r>
        <w:rPr>
          <w:rFonts w:hint="eastAsia" w:ascii="宋体" w:hAnsi="宋体" w:cs="仿宋_GB2312"/>
          <w:kern w:val="0"/>
          <w:sz w:val="24"/>
          <w:szCs w:val="24"/>
        </w:rPr>
        <w:t>本办法自发布之日起执行，由学校采购办负责解释。</w:t>
      </w:r>
    </w:p>
    <w:p>
      <w:pPr>
        <w:spacing w:line="560" w:lineRule="exact"/>
        <w:ind w:firstLine="640" w:firstLineChars="200"/>
        <w:jc w:val="right"/>
        <w:rPr>
          <w:rFonts w:ascii="仿宋_GB2312" w:hAnsi="仿宋_GB2312" w:eastAsia="仿宋_GB2312" w:cs="仿宋_GB2312"/>
          <w:sz w:val="32"/>
          <w:szCs w:val="32"/>
        </w:rPr>
      </w:pPr>
    </w:p>
    <w:p>
      <w:pPr>
        <w:spacing w:line="560" w:lineRule="exact"/>
        <w:ind w:firstLine="640" w:firstLineChars="200"/>
        <w:jc w:val="right"/>
        <w:rPr>
          <w:rFonts w:ascii="仿宋_GB2312" w:eastAsia="仿宋_GB2312"/>
          <w:sz w:val="32"/>
          <w:szCs w:val="32"/>
        </w:rPr>
      </w:pPr>
    </w:p>
    <w:p/>
    <w:p/>
    <w:p>
      <w:pPr>
        <w:pStyle w:val="2"/>
        <w:rPr>
          <w:sz w:val="40"/>
        </w:rPr>
      </w:pPr>
      <w:bookmarkStart w:id="135" w:name="_Toc46402450"/>
      <w:r>
        <w:rPr>
          <w:rFonts w:hint="eastAsia"/>
          <w:sz w:val="40"/>
        </w:rPr>
        <w:t>衢州学院大型仪器设备开放服务管理办法(试行)</w:t>
      </w:r>
      <w:bookmarkEnd w:id="135"/>
    </w:p>
    <w:p>
      <w:pPr>
        <w:spacing w:before="198" w:beforeLines="50"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第一章 总  则</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第一条</w:t>
      </w:r>
      <w:r>
        <w:rPr>
          <w:rFonts w:hint="eastAsia" w:ascii="宋体" w:hAnsi="宋体" w:cs="仿宋_GB2312"/>
          <w:color w:val="000000"/>
          <w:sz w:val="24"/>
          <w:szCs w:val="24"/>
        </w:rPr>
        <w:t xml:space="preserve"> 为充分发挥大型仪器设备的作用和学校专业技术优势，调动教师、实验技术人员的积极性和创造性，鼓励开放服务和规范开放服务过程，提高仪器设备的管理水平和共享使用效益，特制订本办法。</w:t>
      </w:r>
    </w:p>
    <w:p>
      <w:pPr>
        <w:autoSpaceDE w:val="0"/>
        <w:autoSpaceDN w:val="0"/>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第二条</w:t>
      </w:r>
      <w:r>
        <w:rPr>
          <w:rFonts w:hint="eastAsia" w:ascii="宋体" w:hAnsi="宋体" w:cs="仿宋_GB2312"/>
          <w:color w:val="000000"/>
          <w:sz w:val="24"/>
          <w:szCs w:val="24"/>
        </w:rPr>
        <w:t xml:space="preserve"> 本办法开放服务的大型仪器设备(以下简称大仪)指性能良好且单价在30万元及以上，可对校内外提供开放服务的大仪，或单价虽不足30万元但经认定应该对校内外开放服务的仪器设备。</w:t>
      </w:r>
    </w:p>
    <w:p>
      <w:pPr>
        <w:autoSpaceDE w:val="0"/>
        <w:autoSpaceDN w:val="0"/>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第三条</w:t>
      </w:r>
      <w:r>
        <w:rPr>
          <w:rFonts w:hint="eastAsia" w:ascii="宋体" w:hAnsi="宋体" w:cs="仿宋_GB2312"/>
          <w:color w:val="000000"/>
          <w:sz w:val="24"/>
          <w:szCs w:val="24"/>
        </w:rPr>
        <w:t xml:space="preserve"> 在确保完成各项教学任务的前提下，凡属学校资产、满足上述条件的大仪，无论经费来源如何，均须面向校内外开放，充分发挥大仪效益。</w:t>
      </w:r>
    </w:p>
    <w:p>
      <w:pPr>
        <w:spacing w:before="198" w:beforeLines="50"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第二章 组织与实施</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第四条</w:t>
      </w:r>
      <w:r>
        <w:rPr>
          <w:rFonts w:hint="eastAsia" w:ascii="宋体" w:hAnsi="宋体" w:cs="仿宋_GB2312"/>
          <w:color w:val="000000"/>
          <w:sz w:val="24"/>
          <w:szCs w:val="24"/>
        </w:rPr>
        <w:t xml:space="preserve"> 大仪开放服务实行学校统一领导、 “学校、学院(中心)”二级管理。实验室与设备管理处是全校大仪开放服务的归口管理部门，负责大仪开放服务的政策制订及相关管理工作；各学院(中心)负责本部门大仪开放服务的管理。</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第五条 </w:t>
      </w:r>
      <w:r>
        <w:rPr>
          <w:rFonts w:hint="eastAsia" w:ascii="宋体" w:hAnsi="宋体" w:cs="仿宋_GB2312"/>
          <w:color w:val="000000"/>
          <w:sz w:val="24"/>
          <w:szCs w:val="24"/>
        </w:rPr>
        <w:t>凡须纳入开放服务的大仪，由大仪所属部门填写《衢州学院大型仪器设备开放服务申请表》（附件1），经学校核准后，由归口管理部门统一在网上公布大仪开放服务相关信息。大仪开放服务通过大仪共享服务平台，采用网上预约方式进行，经大仪所属部门审核同意后预约生效。</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第六条</w:t>
      </w:r>
      <w:r>
        <w:rPr>
          <w:rFonts w:hint="eastAsia" w:ascii="宋体" w:hAnsi="宋体" w:cs="仿宋_GB2312"/>
          <w:color w:val="000000"/>
          <w:sz w:val="24"/>
          <w:szCs w:val="24"/>
        </w:rPr>
        <w:t xml:space="preserve"> 大仪开放服务实行“定室存放、定人操作、定人维护”管理。大仪所属部门应配备具有一定专业技术水平、责任心强的校内实验技术人员或教师负责仪器设备的操作和管理。大仪的使用人员经过培训方可进行仪器操作，确保仪器设备的安全、正常运行。</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第七条 </w:t>
      </w:r>
      <w:r>
        <w:rPr>
          <w:rFonts w:hint="eastAsia" w:ascii="宋体" w:hAnsi="宋体" w:cs="仿宋_GB2312"/>
          <w:color w:val="000000"/>
          <w:sz w:val="24"/>
          <w:szCs w:val="24"/>
        </w:rPr>
        <w:t>大仪开放服务实行收费制度。凡学校教学任务以外，需使用学校大仪的校内外部门（单位）或个人，均按经学校核准后的大仪开放服务项目收费标准（收费标准由学校另行下文公布）实行收费。</w:t>
      </w:r>
    </w:p>
    <w:p>
      <w:pPr>
        <w:spacing w:line="360" w:lineRule="auto"/>
        <w:ind w:firstLine="482" w:firstLineChars="200"/>
        <w:jc w:val="left"/>
        <w:rPr>
          <w:rFonts w:ascii="宋体" w:hAnsi="宋体" w:cs="仿宋_GB2312"/>
          <w:color w:val="000000"/>
          <w:sz w:val="24"/>
          <w:szCs w:val="24"/>
        </w:rPr>
      </w:pPr>
      <w:r>
        <w:rPr>
          <w:rFonts w:hint="eastAsia" w:ascii="宋体" w:hAnsi="宋体" w:cs="仿宋_GB2312"/>
          <w:b/>
          <w:color w:val="000000"/>
          <w:sz w:val="24"/>
          <w:szCs w:val="24"/>
        </w:rPr>
        <w:t xml:space="preserve">第八条 </w:t>
      </w:r>
      <w:r>
        <w:rPr>
          <w:rFonts w:hint="eastAsia" w:ascii="宋体" w:hAnsi="宋体" w:cs="仿宋_GB2312"/>
          <w:color w:val="000000"/>
          <w:sz w:val="24"/>
          <w:szCs w:val="24"/>
        </w:rPr>
        <w:t>大仪开放服务收费标准拟定。由大仪所属部门参照国内同类仪器设备使用收费情况，或依据仪器设备运行成本（水电费、耗材费、维护费等）和管理服务费（按运行成本的15%</w:t>
      </w:r>
      <w:r>
        <w:rPr>
          <w:rFonts w:hint="eastAsia" w:ascii="宋体" w:hAnsi="宋体"/>
          <w:color w:val="000000"/>
          <w:sz w:val="24"/>
          <w:szCs w:val="24"/>
        </w:rPr>
        <w:t>~</w:t>
      </w:r>
      <w:r>
        <w:rPr>
          <w:rFonts w:hint="eastAsia" w:ascii="宋体" w:hAnsi="宋体" w:cs="仿宋_GB2312"/>
          <w:color w:val="000000"/>
          <w:sz w:val="24"/>
          <w:szCs w:val="24"/>
        </w:rPr>
        <w:t>20%计算）进行拟定。</w:t>
      </w:r>
    </w:p>
    <w:p>
      <w:pPr>
        <w:autoSpaceDE w:val="0"/>
        <w:autoSpaceDN w:val="0"/>
        <w:spacing w:line="360" w:lineRule="auto"/>
        <w:ind w:firstLine="482" w:firstLineChars="200"/>
        <w:rPr>
          <w:rFonts w:ascii="宋体" w:hAnsi="宋体" w:cs="仿宋_GB2312"/>
          <w:sz w:val="24"/>
          <w:szCs w:val="24"/>
        </w:rPr>
      </w:pPr>
      <w:r>
        <w:rPr>
          <w:rFonts w:hint="eastAsia" w:ascii="宋体" w:hAnsi="宋体" w:cs="仿宋_GB2312"/>
          <w:b/>
          <w:color w:val="000000"/>
          <w:sz w:val="24"/>
          <w:szCs w:val="24"/>
        </w:rPr>
        <w:t xml:space="preserve">第九条 </w:t>
      </w:r>
      <w:r>
        <w:rPr>
          <w:rFonts w:hint="eastAsia" w:ascii="宋体" w:hAnsi="宋体" w:cs="仿宋_GB2312"/>
          <w:color w:val="000000"/>
          <w:sz w:val="24"/>
          <w:szCs w:val="24"/>
        </w:rPr>
        <w:t>校内所属部门或个人使用大仪开展学校教学任务外的测试、加工、实验等服务，按收费标准的30%收取，费用在其科研经费等相关项目经费中列支。</w:t>
      </w:r>
    </w:p>
    <w:p>
      <w:pPr>
        <w:spacing w:before="198" w:beforeLines="50"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第三章 收入与分配</w:t>
      </w:r>
    </w:p>
    <w:p>
      <w:pPr>
        <w:spacing w:line="360" w:lineRule="auto"/>
        <w:ind w:firstLine="482" w:firstLineChars="200"/>
        <w:jc w:val="left"/>
        <w:rPr>
          <w:rFonts w:ascii="宋体" w:hAnsi="宋体" w:cs="仿宋_GB2312"/>
          <w:color w:val="000000"/>
          <w:sz w:val="24"/>
          <w:szCs w:val="24"/>
        </w:rPr>
      </w:pPr>
      <w:r>
        <w:rPr>
          <w:rFonts w:hint="eastAsia" w:ascii="宋体" w:hAnsi="宋体" w:cs="仿宋_GB2312"/>
          <w:b/>
          <w:color w:val="000000"/>
          <w:sz w:val="24"/>
          <w:szCs w:val="24"/>
        </w:rPr>
        <w:t xml:space="preserve">第十条 </w:t>
      </w:r>
      <w:r>
        <w:rPr>
          <w:rFonts w:hint="eastAsia" w:ascii="宋体" w:hAnsi="宋体" w:cs="仿宋_GB2312"/>
          <w:color w:val="000000"/>
          <w:sz w:val="24"/>
          <w:szCs w:val="24"/>
        </w:rPr>
        <w:t>凡利用学校大仪开放服务获取的费用统一由校计划财务处收取，汇缴至相应学院（中心）大仪开放共享收入账户，并负责校外款项相关票据的开具。计划财务处应按学院（中心）为单位单</w:t>
      </w:r>
      <w:r>
        <w:rPr>
          <w:rFonts w:hint="eastAsia" w:ascii="宋体" w:hAnsi="宋体" w:cs="仿宋_GB2312"/>
          <w:sz w:val="24"/>
          <w:szCs w:val="24"/>
        </w:rPr>
        <w:t>独入账，单独核算。</w:t>
      </w:r>
    </w:p>
    <w:p>
      <w:pPr>
        <w:autoSpaceDE w:val="0"/>
        <w:autoSpaceDN w:val="0"/>
        <w:spacing w:line="360" w:lineRule="auto"/>
        <w:ind w:firstLine="482" w:firstLineChars="200"/>
        <w:rPr>
          <w:rFonts w:ascii="宋体" w:hAnsi="宋体" w:cs="仿宋_GB2312"/>
          <w:sz w:val="24"/>
          <w:szCs w:val="24"/>
        </w:rPr>
      </w:pPr>
      <w:r>
        <w:rPr>
          <w:rFonts w:hint="eastAsia" w:ascii="宋体" w:hAnsi="宋体" w:cs="仿宋_GB2312"/>
          <w:b/>
          <w:color w:val="000000"/>
          <w:sz w:val="24"/>
          <w:szCs w:val="24"/>
        </w:rPr>
        <w:t xml:space="preserve">第十一条 </w:t>
      </w:r>
      <w:r>
        <w:rPr>
          <w:rFonts w:hint="eastAsia" w:ascii="宋体" w:hAnsi="宋体" w:cs="仿宋_GB2312"/>
          <w:sz w:val="24"/>
          <w:szCs w:val="24"/>
        </w:rPr>
        <w:t>大仪开放服务费用收取办法。服务对象</w:t>
      </w:r>
      <w:r>
        <w:rPr>
          <w:rFonts w:hint="eastAsia" w:ascii="宋体" w:hAnsi="宋体" w:cs="仿宋_GB2312"/>
          <w:color w:val="000000"/>
          <w:sz w:val="24"/>
          <w:szCs w:val="24"/>
        </w:rPr>
        <w:t>预约生效后，</w:t>
      </w:r>
      <w:r>
        <w:rPr>
          <w:rFonts w:hint="eastAsia" w:ascii="宋体" w:hAnsi="宋体" w:cs="仿宋_GB2312"/>
          <w:sz w:val="24"/>
          <w:szCs w:val="24"/>
        </w:rPr>
        <w:t>由大仪所在部门开具《衢州学院仪器设备开放服务</w:t>
      </w:r>
      <w:r>
        <w:rPr>
          <w:rFonts w:hint="eastAsia" w:ascii="宋体" w:hAnsi="宋体" w:cs="仿宋_GB2312"/>
          <w:color w:val="000000"/>
          <w:sz w:val="24"/>
          <w:szCs w:val="24"/>
        </w:rPr>
        <w:t>缴</w:t>
      </w:r>
      <w:r>
        <w:rPr>
          <w:rFonts w:hint="eastAsia" w:ascii="宋体" w:hAnsi="宋体" w:cs="仿宋_GB2312"/>
          <w:sz w:val="24"/>
          <w:szCs w:val="24"/>
        </w:rPr>
        <w:t>款通知单》（附件2）。校内服务对象按次开具、由大仪所属部门按月统一交学校财务进行结算；校外服务对象凭交款单按次结算，并持盖有计财处公章的</w:t>
      </w:r>
      <w:r>
        <w:rPr>
          <w:rFonts w:hint="eastAsia" w:ascii="宋体" w:hAnsi="宋体" w:cs="仿宋_GB2312"/>
          <w:color w:val="000000"/>
          <w:sz w:val="24"/>
          <w:szCs w:val="24"/>
        </w:rPr>
        <w:t>缴</w:t>
      </w:r>
      <w:r>
        <w:rPr>
          <w:rFonts w:hint="eastAsia" w:ascii="宋体" w:hAnsi="宋体" w:cs="仿宋_GB2312"/>
          <w:sz w:val="24"/>
          <w:szCs w:val="24"/>
        </w:rPr>
        <w:t>款通知单进行开放使用。</w:t>
      </w:r>
    </w:p>
    <w:p>
      <w:pPr>
        <w:autoSpaceDE w:val="0"/>
        <w:autoSpaceDN w:val="0"/>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第十二条 </w:t>
      </w:r>
      <w:r>
        <w:rPr>
          <w:rFonts w:hint="eastAsia" w:ascii="宋体" w:hAnsi="宋体" w:cs="仿宋_GB2312"/>
          <w:color w:val="000000"/>
          <w:sz w:val="24"/>
          <w:szCs w:val="24"/>
        </w:rPr>
        <w:t>大仪开放服务收入经费由学校统一管理和分配。大仪开放服务收入分配办法依据《衢州学院社会服务收入管理办法（试行）》（衢院计〔2018〕1号）规定执行，即80%列入部门创收收入经费，按年度结算。</w:t>
      </w:r>
    </w:p>
    <w:p>
      <w:pPr>
        <w:spacing w:before="198" w:beforeLines="50"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第四章  考核与评价</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第十三条</w:t>
      </w:r>
      <w:r>
        <w:rPr>
          <w:rFonts w:hint="eastAsia" w:ascii="宋体" w:hAnsi="宋体" w:cs="仿宋_GB2312"/>
          <w:color w:val="000000"/>
          <w:sz w:val="24"/>
          <w:szCs w:val="24"/>
        </w:rPr>
        <w:t> 大仪开放共享使用绩效纳入学院（中心）大仪使用绩效整体范围，依据《衢州学院大型仪器设备使用绩效考核办法（试行）》（衢院设〔2018〕2号）进行考核。</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第十四条 </w:t>
      </w:r>
      <w:r>
        <w:rPr>
          <w:rFonts w:hint="eastAsia" w:ascii="宋体" w:hAnsi="宋体" w:cs="仿宋_GB2312"/>
          <w:color w:val="000000"/>
          <w:sz w:val="24"/>
          <w:szCs w:val="24"/>
        </w:rPr>
        <w:t>对当年度大仪使用绩效考核合格及以上的学院（中心），依据考核得分情况，按其开放服务总收入不超过20%的比例核增部门下一年度奖励性绩效工资指标，纳入部门年终综合考核指标</w:t>
      </w:r>
      <w:r>
        <w:rPr>
          <w:rFonts w:hint="eastAsia" w:ascii="宋体" w:hAnsi="宋体" w:cs="仿宋_GB2312"/>
          <w:sz w:val="24"/>
          <w:szCs w:val="24"/>
        </w:rPr>
        <w:t>。</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第十五条 </w:t>
      </w:r>
      <w:r>
        <w:rPr>
          <w:rFonts w:hint="eastAsia" w:ascii="宋体" w:hAnsi="宋体" w:cs="仿宋_GB2312"/>
          <w:sz w:val="24"/>
          <w:szCs w:val="24"/>
        </w:rPr>
        <w:t>奖励性绩效工资</w:t>
      </w:r>
      <w:r>
        <w:rPr>
          <w:rFonts w:hint="eastAsia" w:ascii="宋体" w:hAnsi="宋体" w:cs="仿宋_GB2312"/>
          <w:color w:val="000000"/>
          <w:sz w:val="24"/>
          <w:szCs w:val="24"/>
        </w:rPr>
        <w:t>核增</w:t>
      </w:r>
      <w:r>
        <w:rPr>
          <w:rFonts w:hint="eastAsia" w:ascii="宋体" w:hAnsi="宋体" w:cs="仿宋_GB2312"/>
          <w:sz w:val="24"/>
          <w:szCs w:val="24"/>
        </w:rPr>
        <w:t>指标实行总量控制。</w:t>
      </w:r>
      <w:r>
        <w:rPr>
          <w:rFonts w:hint="eastAsia" w:ascii="宋体" w:hAnsi="宋体" w:cs="仿宋_GB2312"/>
          <w:color w:val="000000"/>
          <w:sz w:val="24"/>
          <w:szCs w:val="24"/>
        </w:rPr>
        <w:t>学校年度核增部分奖励性绩效工资指标的总控制数为10万元，其所需经费在部门创收收入中予以解决。</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第十六条 </w:t>
      </w:r>
      <w:r>
        <w:rPr>
          <w:rFonts w:hint="eastAsia" w:ascii="宋体" w:hAnsi="宋体" w:cs="仿宋_GB2312"/>
          <w:color w:val="000000"/>
          <w:sz w:val="24"/>
          <w:szCs w:val="24"/>
        </w:rPr>
        <w:t>对未经批准擅自收费，或未按规定与标准实施收费，或收费未上交的部门，一经查实将追究该部门及相关人员的责任。</w:t>
      </w:r>
    </w:p>
    <w:p>
      <w:pPr>
        <w:spacing w:before="198" w:beforeLines="50"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第五章 附  则</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第十七条 </w:t>
      </w:r>
      <w:r>
        <w:rPr>
          <w:rFonts w:hint="eastAsia" w:ascii="宋体" w:hAnsi="宋体" w:cs="仿宋_GB2312"/>
          <w:color w:val="000000"/>
          <w:sz w:val="24"/>
          <w:szCs w:val="24"/>
        </w:rPr>
        <w:t>列入学校专业培养计划内需使用仪器设备开展实践性环节教学活动的内容，不纳入本办法范围。其他非大仪类仪器设备的开放服务参照本办法执行。</w:t>
      </w:r>
    </w:p>
    <w:p>
      <w:pPr>
        <w:spacing w:line="360" w:lineRule="auto"/>
        <w:ind w:firstLine="482" w:firstLineChars="200"/>
        <w:rPr>
          <w:rFonts w:ascii="宋体" w:hAnsi="宋体" w:cs="仿宋_GB2312"/>
          <w:color w:val="000000"/>
          <w:sz w:val="24"/>
          <w:szCs w:val="24"/>
        </w:rPr>
      </w:pPr>
      <w:r>
        <w:rPr>
          <w:rFonts w:hint="eastAsia" w:ascii="宋体" w:hAnsi="宋体" w:cs="仿宋_GB2312"/>
          <w:b/>
          <w:color w:val="000000"/>
          <w:sz w:val="24"/>
          <w:szCs w:val="24"/>
        </w:rPr>
        <w:t xml:space="preserve">第十八条 </w:t>
      </w:r>
      <w:r>
        <w:rPr>
          <w:rFonts w:hint="eastAsia" w:ascii="宋体" w:hAnsi="宋体" w:cs="仿宋_GB2312"/>
          <w:color w:val="000000"/>
          <w:sz w:val="24"/>
          <w:szCs w:val="24"/>
        </w:rPr>
        <w:t>本办法自2019年开始实施，原《衢州学院大型仪器设备开放共享实施办法（试行）》（衢院设〔2016〕1号）同时废止。本办法由实验室与设备管理处、计划财务处负责解释。</w:t>
      </w:r>
    </w:p>
    <w:p>
      <w:pPr>
        <w:tabs>
          <w:tab w:val="left" w:pos="1650"/>
        </w:tabs>
        <w:spacing w:line="360" w:lineRule="auto"/>
        <w:rPr>
          <w:rFonts w:ascii="宋体" w:hAnsi="宋体" w:cs="仿宋_GB2312"/>
          <w:sz w:val="24"/>
          <w:szCs w:val="24"/>
        </w:rPr>
      </w:pPr>
    </w:p>
    <w:p>
      <w:pPr>
        <w:tabs>
          <w:tab w:val="left" w:pos="1650"/>
        </w:tabs>
        <w:spacing w:line="360" w:lineRule="auto"/>
        <w:ind w:firstLine="482" w:firstLineChars="200"/>
        <w:rPr>
          <w:rFonts w:ascii="宋体" w:hAnsi="宋体" w:cs="仿宋_GB2312"/>
          <w:sz w:val="24"/>
          <w:szCs w:val="24"/>
        </w:rPr>
      </w:pPr>
      <w:r>
        <w:rPr>
          <w:rFonts w:hint="eastAsia" w:ascii="宋体" w:hAnsi="宋体" w:cs="仿宋_GB2312"/>
          <w:b/>
          <w:sz w:val="24"/>
          <w:szCs w:val="24"/>
        </w:rPr>
        <w:t>附件：</w:t>
      </w:r>
      <w:r>
        <w:rPr>
          <w:rFonts w:hint="eastAsia" w:ascii="宋体" w:hAnsi="宋体" w:cs="仿宋_GB2312"/>
          <w:sz w:val="24"/>
          <w:szCs w:val="24"/>
        </w:rPr>
        <w:t>1.</w:t>
      </w:r>
      <w:r>
        <w:rPr>
          <w:rFonts w:hint="eastAsia" w:ascii="宋体" w:hAnsi="宋体" w:cs="仿宋_GB2312"/>
          <w:color w:val="000000"/>
          <w:sz w:val="24"/>
          <w:szCs w:val="24"/>
        </w:rPr>
        <w:t>《衢州学院大型仪器设备开放服务申请表》</w:t>
      </w:r>
    </w:p>
    <w:p>
      <w:pPr>
        <w:spacing w:line="360" w:lineRule="auto"/>
        <w:ind w:firstLine="1200" w:firstLineChars="500"/>
        <w:jc w:val="left"/>
        <w:rPr>
          <w:rFonts w:ascii="宋体" w:hAnsi="宋体" w:cs="仿宋_GB2312"/>
          <w:sz w:val="24"/>
          <w:szCs w:val="24"/>
        </w:rPr>
      </w:pPr>
      <w:r>
        <w:rPr>
          <w:rFonts w:hint="eastAsia" w:ascii="宋体" w:hAnsi="宋体" w:cs="仿宋_GB2312"/>
          <w:sz w:val="24"/>
          <w:szCs w:val="24"/>
        </w:rPr>
        <w:t>2.《衢州学院仪器设备开放服务</w:t>
      </w:r>
      <w:r>
        <w:rPr>
          <w:rFonts w:hint="eastAsia" w:ascii="宋体" w:hAnsi="宋体" w:cs="仿宋_GB2312"/>
          <w:color w:val="000000"/>
          <w:sz w:val="24"/>
          <w:szCs w:val="24"/>
        </w:rPr>
        <w:t>缴</w:t>
      </w:r>
      <w:r>
        <w:rPr>
          <w:rFonts w:hint="eastAsia" w:ascii="宋体" w:hAnsi="宋体" w:cs="仿宋_GB2312"/>
          <w:sz w:val="24"/>
          <w:szCs w:val="24"/>
        </w:rPr>
        <w:t>款通知单》</w:t>
      </w:r>
    </w:p>
    <w:p>
      <w:pPr>
        <w:widowControl/>
        <w:jc w:val="left"/>
        <w:rPr>
          <w:rFonts w:ascii="宋体" w:hAnsi="宋体" w:cs="仿宋_GB2312"/>
          <w:sz w:val="24"/>
          <w:szCs w:val="24"/>
        </w:rPr>
      </w:pPr>
      <w:r>
        <w:rPr>
          <w:rFonts w:ascii="宋体" w:hAnsi="宋体" w:cs="仿宋_GB2312"/>
          <w:sz w:val="24"/>
          <w:szCs w:val="24"/>
        </w:rPr>
        <w:br w:type="page"/>
      </w:r>
    </w:p>
    <w:p>
      <w:pPr>
        <w:spacing w:line="540" w:lineRule="exact"/>
        <w:rPr>
          <w:rFonts w:ascii="黑体" w:hAnsi="黑体" w:eastAsia="黑体" w:cs="黑体"/>
        </w:rPr>
      </w:pPr>
      <w:r>
        <w:rPr>
          <w:rFonts w:hint="eastAsia" w:ascii="黑体" w:hAnsi="黑体" w:eastAsia="黑体" w:cs="黑体"/>
        </w:rPr>
        <w:t>附件1</w:t>
      </w:r>
    </w:p>
    <w:p>
      <w:pPr>
        <w:spacing w:line="360" w:lineRule="auto"/>
        <w:jc w:val="center"/>
        <w:rPr>
          <w:rFonts w:ascii="宋体" w:hAnsi="宋体" w:cs="方正小标宋简体"/>
          <w:bCs/>
          <w:sz w:val="44"/>
          <w:szCs w:val="44"/>
        </w:rPr>
      </w:pPr>
      <w:r>
        <w:rPr>
          <w:rFonts w:hint="eastAsia" w:ascii="宋体" w:hAnsi="宋体" w:cs="方正小标宋简体"/>
          <w:bCs/>
          <w:sz w:val="44"/>
          <w:szCs w:val="44"/>
        </w:rPr>
        <w:t>衢州学院大型仪器设备开放服务申请表</w:t>
      </w:r>
    </w:p>
    <w:tbl>
      <w:tblPr>
        <w:tblStyle w:val="1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49"/>
        <w:gridCol w:w="1946"/>
        <w:gridCol w:w="287"/>
        <w:gridCol w:w="626"/>
        <w:gridCol w:w="356"/>
        <w:gridCol w:w="985"/>
        <w:gridCol w:w="627"/>
        <w:gridCol w:w="642"/>
        <w:gridCol w:w="304"/>
        <w:gridCol w:w="802"/>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仪器名称</w:t>
            </w:r>
          </w:p>
        </w:tc>
        <w:tc>
          <w:tcPr>
            <w:tcW w:w="19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126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仪器编号</w:t>
            </w:r>
          </w:p>
        </w:tc>
        <w:tc>
          <w:tcPr>
            <w:tcW w:w="9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存放地点</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单台（套）价值（元）</w:t>
            </w:r>
          </w:p>
        </w:tc>
        <w:tc>
          <w:tcPr>
            <w:tcW w:w="19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c>
          <w:tcPr>
            <w:tcW w:w="126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生产厂家</w:t>
            </w:r>
          </w:p>
        </w:tc>
        <w:tc>
          <w:tcPr>
            <w:tcW w:w="255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FF0000"/>
                <w:sz w:val="24"/>
                <w:szCs w:val="24"/>
              </w:rPr>
            </w:pPr>
            <w:r>
              <w:rPr>
                <w:rFonts w:hint="eastAsia" w:ascii="宋体" w:hAnsi="宋体"/>
                <w:color w:val="FF0000"/>
                <w:sz w:val="24"/>
                <w:szCs w:val="24"/>
              </w:rPr>
              <w:t xml:space="preserve">    </w:t>
            </w:r>
          </w:p>
        </w:tc>
        <w:tc>
          <w:tcPr>
            <w:tcW w:w="8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FF0000"/>
                <w:sz w:val="24"/>
                <w:szCs w:val="24"/>
              </w:rPr>
            </w:pPr>
            <w:r>
              <w:rPr>
                <w:rFonts w:hint="eastAsia" w:ascii="宋体" w:hAnsi="宋体"/>
                <w:sz w:val="24"/>
                <w:szCs w:val="24"/>
              </w:rPr>
              <w:t>国别</w:t>
            </w:r>
          </w:p>
        </w:tc>
        <w:tc>
          <w:tcPr>
            <w:tcW w:w="111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r>
              <w:rPr>
                <w:rFonts w:hint="eastAsia" w:ascii="宋体" w:hAnsi="宋体"/>
                <w:sz w:val="24"/>
                <w:szCs w:val="24"/>
              </w:rPr>
              <w:t>规格型号</w:t>
            </w:r>
          </w:p>
        </w:tc>
        <w:tc>
          <w:tcPr>
            <w:tcW w:w="7689"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0"/>
              <w:jc w:val="center"/>
              <w:rPr>
                <w:rFonts w:ascii="宋体" w:hAnsi="宋体"/>
                <w:sz w:val="24"/>
                <w:szCs w:val="24"/>
              </w:rPr>
            </w:pPr>
            <w:r>
              <w:rPr>
                <w:rFonts w:hint="eastAsia" w:ascii="宋体" w:hAnsi="宋体"/>
                <w:sz w:val="24"/>
                <w:szCs w:val="24"/>
              </w:rPr>
              <w:t>主要性能指标</w:t>
            </w:r>
          </w:p>
          <w:p>
            <w:pPr>
              <w:spacing w:line="280" w:lineRule="exact"/>
              <w:ind w:left="-90"/>
              <w:jc w:val="center"/>
              <w:rPr>
                <w:rFonts w:ascii="宋体" w:hAnsi="宋体"/>
                <w:sz w:val="24"/>
                <w:szCs w:val="24"/>
              </w:rPr>
            </w:pPr>
            <w:r>
              <w:rPr>
                <w:rFonts w:hint="eastAsia" w:ascii="宋体" w:hAnsi="宋体"/>
                <w:sz w:val="24"/>
                <w:szCs w:val="24"/>
              </w:rPr>
              <w:t>及主要用途</w:t>
            </w:r>
          </w:p>
        </w:tc>
        <w:tc>
          <w:tcPr>
            <w:tcW w:w="7689" w:type="dxa"/>
            <w:gridSpan w:val="10"/>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sz w:val="24"/>
                <w:szCs w:val="24"/>
              </w:rPr>
            </w:pPr>
          </w:p>
          <w:p>
            <w:pPr>
              <w:spacing w:line="2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0"/>
              <w:jc w:val="center"/>
              <w:rPr>
                <w:rFonts w:ascii="宋体" w:hAnsi="宋体"/>
                <w:sz w:val="24"/>
                <w:szCs w:val="24"/>
              </w:rPr>
            </w:pPr>
            <w:r>
              <w:rPr>
                <w:rFonts w:hint="eastAsia" w:ascii="宋体" w:hAnsi="宋体"/>
                <w:sz w:val="24"/>
                <w:szCs w:val="24"/>
              </w:rPr>
              <w:t>大仪设备</w:t>
            </w:r>
          </w:p>
          <w:p>
            <w:pPr>
              <w:spacing w:line="280" w:lineRule="exact"/>
              <w:ind w:left="-90"/>
              <w:jc w:val="center"/>
              <w:rPr>
                <w:rFonts w:ascii="宋体" w:hAnsi="宋体"/>
                <w:sz w:val="24"/>
                <w:szCs w:val="24"/>
              </w:rPr>
            </w:pPr>
            <w:r>
              <w:rPr>
                <w:rFonts w:hint="eastAsia" w:ascii="宋体" w:hAnsi="宋体"/>
                <w:sz w:val="24"/>
                <w:szCs w:val="24"/>
              </w:rPr>
              <w:t>所属实验室</w:t>
            </w:r>
          </w:p>
        </w:tc>
        <w:tc>
          <w:tcPr>
            <w:tcW w:w="2859"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sz w:val="24"/>
                <w:szCs w:val="24"/>
              </w:rPr>
            </w:pPr>
          </w:p>
        </w:tc>
        <w:tc>
          <w:tcPr>
            <w:tcW w:w="196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sz w:val="24"/>
                <w:szCs w:val="24"/>
              </w:rPr>
            </w:pPr>
            <w:r>
              <w:rPr>
                <w:rFonts w:hint="eastAsia" w:ascii="宋体" w:hAnsi="宋体"/>
                <w:sz w:val="24"/>
                <w:szCs w:val="24"/>
              </w:rPr>
              <w:t>大仪设备负责人</w:t>
            </w:r>
          </w:p>
        </w:tc>
        <w:tc>
          <w:tcPr>
            <w:tcW w:w="2862"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358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服务项目</w:t>
            </w:r>
            <w:r>
              <w:rPr>
                <w:rFonts w:ascii="宋体" w:hAnsi="宋体"/>
                <w:sz w:val="24"/>
                <w:szCs w:val="24"/>
              </w:rPr>
              <w:t>(</w:t>
            </w:r>
            <w:r>
              <w:rPr>
                <w:rFonts w:hint="eastAsia" w:ascii="宋体" w:hAnsi="宋体"/>
                <w:sz w:val="24"/>
                <w:szCs w:val="24"/>
              </w:rPr>
              <w:t>分析、测试、加工等</w:t>
            </w:r>
            <w:r>
              <w:rPr>
                <w:rFonts w:ascii="宋体" w:hAnsi="宋体"/>
                <w:sz w:val="24"/>
                <w:szCs w:val="24"/>
              </w:rPr>
              <w:t>)</w:t>
            </w:r>
          </w:p>
        </w:tc>
        <w:tc>
          <w:tcPr>
            <w:tcW w:w="54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对校外申报收费标准（元</w:t>
            </w:r>
            <w:r>
              <w:rPr>
                <w:rFonts w:ascii="宋体" w:hAnsi="宋体"/>
                <w:sz w:val="24"/>
                <w:szCs w:val="24"/>
              </w:rPr>
              <w:t>/</w:t>
            </w:r>
            <w:r>
              <w:rPr>
                <w:rFonts w:hint="eastAsia" w:ascii="宋体" w:hAnsi="宋体"/>
                <w:sz w:val="24"/>
                <w:szCs w:val="24"/>
              </w:rPr>
              <w:t>样、机时）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w:t>
            </w:r>
          </w:p>
        </w:tc>
        <w:tc>
          <w:tcPr>
            <w:tcW w:w="358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p>
        </w:tc>
        <w:tc>
          <w:tcPr>
            <w:tcW w:w="5456" w:type="dxa"/>
            <w:gridSpan w:val="8"/>
            <w:tcBorders>
              <w:top w:val="single" w:color="auto" w:sz="4" w:space="0"/>
              <w:left w:val="single" w:color="auto" w:sz="4" w:space="0"/>
              <w:bottom w:val="single" w:color="auto" w:sz="4" w:space="0"/>
              <w:right w:val="single" w:color="auto" w:sz="4" w:space="0"/>
            </w:tcBorders>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（2）</w:t>
            </w:r>
          </w:p>
        </w:tc>
        <w:tc>
          <w:tcPr>
            <w:tcW w:w="358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p>
        </w:tc>
        <w:tc>
          <w:tcPr>
            <w:tcW w:w="5456" w:type="dxa"/>
            <w:gridSpan w:val="8"/>
            <w:tcBorders>
              <w:top w:val="single" w:color="auto" w:sz="4" w:space="0"/>
              <w:left w:val="single" w:color="auto" w:sz="4" w:space="0"/>
              <w:bottom w:val="single" w:color="auto" w:sz="4" w:space="0"/>
              <w:right w:val="single" w:color="auto" w:sz="4" w:space="0"/>
            </w:tcBorders>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（3）</w:t>
            </w:r>
          </w:p>
        </w:tc>
        <w:tc>
          <w:tcPr>
            <w:tcW w:w="358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p>
        </w:tc>
        <w:tc>
          <w:tcPr>
            <w:tcW w:w="5456" w:type="dxa"/>
            <w:gridSpan w:val="8"/>
            <w:tcBorders>
              <w:top w:val="single" w:color="auto" w:sz="4" w:space="0"/>
              <w:left w:val="single" w:color="auto" w:sz="4" w:space="0"/>
              <w:bottom w:val="single" w:color="auto" w:sz="4" w:space="0"/>
              <w:right w:val="single" w:color="auto" w:sz="4" w:space="0"/>
            </w:tcBorders>
          </w:tcPr>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900" w:type="dxa"/>
            <w:gridSpan w:val="1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sz w:val="24"/>
                <w:szCs w:val="24"/>
              </w:rPr>
            </w:pPr>
            <w:r>
              <w:rPr>
                <w:rFonts w:hint="eastAsia" w:ascii="宋体" w:hAnsi="宋体"/>
                <w:sz w:val="24"/>
                <w:szCs w:val="24"/>
              </w:rPr>
              <w:t>收费标准测算依据</w:t>
            </w:r>
          </w:p>
          <w:p>
            <w:pPr>
              <w:widowControl/>
              <w:spacing w:line="280" w:lineRule="exact"/>
              <w:jc w:val="left"/>
              <w:rPr>
                <w:rFonts w:ascii="宋体" w:hAnsi="宋体"/>
                <w:sz w:val="24"/>
                <w:szCs w:val="24"/>
              </w:rPr>
            </w:pPr>
            <w:r>
              <w:rPr>
                <w:rFonts w:hint="eastAsia" w:ascii="宋体" w:hAnsi="宋体"/>
                <w:sz w:val="24"/>
                <w:szCs w:val="24"/>
              </w:rPr>
              <w:t>1.运行成本：       元</w:t>
            </w:r>
          </w:p>
          <w:p>
            <w:pPr>
              <w:widowControl/>
              <w:spacing w:line="280" w:lineRule="exact"/>
              <w:jc w:val="left"/>
              <w:rPr>
                <w:rFonts w:ascii="宋体" w:hAnsi="宋体"/>
                <w:sz w:val="24"/>
                <w:szCs w:val="24"/>
              </w:rPr>
            </w:pPr>
            <w:r>
              <w:rPr>
                <w:rFonts w:hint="eastAsia" w:ascii="宋体" w:hAnsi="宋体"/>
                <w:sz w:val="24"/>
                <w:szCs w:val="24"/>
              </w:rPr>
              <w:t>仪器单位运行成本申请理由（如水电费、耗材费、维护费等）：</w:t>
            </w:r>
          </w:p>
          <w:p>
            <w:pPr>
              <w:widowControl/>
              <w:spacing w:line="280" w:lineRule="exact"/>
              <w:jc w:val="left"/>
              <w:rPr>
                <w:rFonts w:ascii="宋体" w:hAnsi="宋体"/>
                <w:sz w:val="24"/>
                <w:szCs w:val="24"/>
              </w:rPr>
            </w:pPr>
            <w:r>
              <w:rPr>
                <w:rFonts w:hint="eastAsia" w:ascii="宋体" w:hAnsi="宋体"/>
                <w:sz w:val="24"/>
                <w:szCs w:val="24"/>
              </w:rPr>
              <w:t>（1）</w:t>
            </w:r>
          </w:p>
          <w:p>
            <w:pPr>
              <w:widowControl/>
              <w:spacing w:line="280" w:lineRule="exact"/>
              <w:jc w:val="left"/>
              <w:rPr>
                <w:rFonts w:ascii="宋体" w:hAnsi="宋体"/>
                <w:sz w:val="24"/>
                <w:szCs w:val="24"/>
              </w:rPr>
            </w:pPr>
            <w:r>
              <w:rPr>
                <w:rFonts w:hint="eastAsia" w:ascii="宋体" w:hAnsi="宋体"/>
                <w:sz w:val="24"/>
                <w:szCs w:val="24"/>
              </w:rPr>
              <w:t>（2）</w:t>
            </w:r>
          </w:p>
          <w:p>
            <w:pPr>
              <w:widowControl/>
              <w:spacing w:line="280" w:lineRule="exact"/>
              <w:jc w:val="left"/>
              <w:rPr>
                <w:rFonts w:ascii="宋体" w:hAnsi="宋体"/>
                <w:sz w:val="24"/>
                <w:szCs w:val="24"/>
              </w:rPr>
            </w:pPr>
            <w:r>
              <w:rPr>
                <w:rFonts w:hint="eastAsia" w:ascii="宋体" w:hAnsi="宋体"/>
                <w:sz w:val="24"/>
                <w:szCs w:val="24"/>
              </w:rPr>
              <w:t>（3）</w:t>
            </w:r>
          </w:p>
          <w:p>
            <w:pPr>
              <w:widowControl/>
              <w:spacing w:line="280" w:lineRule="exact"/>
              <w:jc w:val="left"/>
              <w:rPr>
                <w:rFonts w:ascii="宋体" w:hAnsi="宋体"/>
                <w:sz w:val="24"/>
                <w:szCs w:val="24"/>
              </w:rPr>
            </w:pPr>
            <w:r>
              <w:rPr>
                <w:rFonts w:hint="eastAsia" w:ascii="宋体" w:hAnsi="宋体"/>
                <w:sz w:val="24"/>
                <w:szCs w:val="24"/>
              </w:rPr>
              <w:t>2.管理服务费总额：         元（按单位运行成本的15%~20%计算）</w:t>
            </w:r>
          </w:p>
          <w:p>
            <w:pPr>
              <w:widowControl/>
              <w:spacing w:line="280" w:lineRule="exact"/>
              <w:jc w:val="left"/>
              <w:rPr>
                <w:rFonts w:ascii="宋体" w:hAnsi="宋体"/>
                <w:sz w:val="24"/>
                <w:szCs w:val="24"/>
              </w:rPr>
            </w:pPr>
            <w:r>
              <w:rPr>
                <w:rFonts w:hint="eastAsia" w:ascii="宋体" w:hAnsi="宋体"/>
                <w:sz w:val="24"/>
                <w:szCs w:val="24"/>
              </w:rPr>
              <w:t>管理服务费申请理由（如仪器设备使用、咨询、分析、计算等）：</w:t>
            </w:r>
          </w:p>
          <w:p>
            <w:pPr>
              <w:widowControl/>
              <w:spacing w:line="280" w:lineRule="exact"/>
              <w:rPr>
                <w:rFonts w:ascii="宋体" w:hAnsi="宋体"/>
                <w:sz w:val="24"/>
                <w:szCs w:val="24"/>
              </w:rPr>
            </w:pPr>
            <w:r>
              <w:rPr>
                <w:rFonts w:hint="eastAsia" w:ascii="宋体" w:hAnsi="宋体"/>
                <w:sz w:val="24"/>
                <w:szCs w:val="24"/>
              </w:rPr>
              <w:t>（1）</w:t>
            </w:r>
          </w:p>
          <w:p>
            <w:pPr>
              <w:widowControl/>
              <w:spacing w:line="280" w:lineRule="exact"/>
              <w:rPr>
                <w:rFonts w:ascii="宋体" w:hAnsi="宋体"/>
                <w:sz w:val="24"/>
                <w:szCs w:val="24"/>
              </w:rPr>
            </w:pPr>
            <w:r>
              <w:rPr>
                <w:rFonts w:hint="eastAsia" w:ascii="宋体" w:hAnsi="宋体"/>
                <w:sz w:val="24"/>
                <w:szCs w:val="24"/>
              </w:rPr>
              <w:t>（2）</w:t>
            </w:r>
          </w:p>
          <w:p>
            <w:pPr>
              <w:widowControl/>
              <w:spacing w:line="280" w:lineRule="exact"/>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900" w:type="dxa"/>
            <w:gridSpan w:val="1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sz w:val="24"/>
                <w:szCs w:val="24"/>
              </w:rPr>
            </w:pPr>
            <w:r>
              <w:rPr>
                <w:rFonts w:hint="eastAsia" w:ascii="宋体" w:hAnsi="宋体"/>
                <w:sz w:val="24"/>
                <w:szCs w:val="24"/>
              </w:rPr>
              <w:t>浙江省高校或科研院所同类仪器设备使用收费标准：</w:t>
            </w:r>
          </w:p>
          <w:p>
            <w:pPr>
              <w:widowControl/>
              <w:spacing w:line="280" w:lineRule="exact"/>
              <w:jc w:val="left"/>
              <w:rPr>
                <w:rFonts w:ascii="宋体" w:hAnsi="宋体"/>
                <w:sz w:val="24"/>
                <w:szCs w:val="24"/>
              </w:rPr>
            </w:pPr>
          </w:p>
          <w:p>
            <w:pPr>
              <w:widowControl/>
              <w:spacing w:line="280" w:lineRule="exact"/>
              <w:jc w:val="left"/>
              <w:rPr>
                <w:rFonts w:ascii="宋体" w:hAnsi="宋体"/>
                <w:sz w:val="24"/>
                <w:szCs w:val="24"/>
              </w:rPr>
            </w:pPr>
          </w:p>
          <w:p>
            <w:pPr>
              <w:widowControl/>
              <w:spacing w:line="280" w:lineRule="exact"/>
              <w:jc w:val="left"/>
              <w:rPr>
                <w:rFonts w:ascii="宋体" w:hAnsi="宋体"/>
                <w:sz w:val="24"/>
                <w:szCs w:val="24"/>
              </w:rPr>
            </w:pPr>
          </w:p>
          <w:p>
            <w:pPr>
              <w:widowControl/>
              <w:spacing w:line="28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900" w:type="dxa"/>
            <w:gridSpan w:val="12"/>
            <w:tcBorders>
              <w:top w:val="single" w:color="auto" w:sz="4" w:space="0"/>
              <w:left w:val="single" w:color="auto" w:sz="4" w:space="0"/>
              <w:bottom w:val="single" w:color="auto" w:sz="4" w:space="0"/>
              <w:right w:val="single" w:color="auto" w:sz="4" w:space="0"/>
            </w:tcBorders>
          </w:tcPr>
          <w:p>
            <w:pPr>
              <w:rPr>
                <w:rFonts w:ascii="宋体" w:hAnsi="宋体"/>
                <w:sz w:val="24"/>
                <w:szCs w:val="24"/>
              </w:rPr>
            </w:pPr>
            <w:r>
              <w:rPr>
                <w:rFonts w:hint="eastAsia" w:ascii="宋体" w:hAnsi="宋体"/>
                <w:sz w:val="24"/>
                <w:szCs w:val="24"/>
              </w:rPr>
              <w:t>所属实验室负责人意见：</w:t>
            </w:r>
          </w:p>
          <w:p>
            <w:pPr>
              <w:rPr>
                <w:rFonts w:ascii="宋体" w:hAnsi="宋体"/>
                <w:sz w:val="24"/>
                <w:szCs w:val="24"/>
              </w:rPr>
            </w:pPr>
          </w:p>
          <w:p>
            <w:pPr>
              <w:ind w:firstLine="6360" w:firstLineChars="2650"/>
              <w:jc w:val="left"/>
              <w:rPr>
                <w:rFonts w:ascii="宋体" w:hAnsi="宋体"/>
                <w:sz w:val="24"/>
                <w:szCs w:val="24"/>
              </w:rPr>
            </w:pPr>
            <w:r>
              <w:rPr>
                <w:rFonts w:hint="eastAsia" w:ascii="宋体" w:hAnsi="宋体"/>
                <w:sz w:val="24"/>
                <w:szCs w:val="24"/>
              </w:rPr>
              <w:t>负责人（签字）：</w:t>
            </w:r>
          </w:p>
          <w:p>
            <w:pPr>
              <w:ind w:left="7420" w:leftChars="2650" w:right="420" w:firstLine="2280" w:firstLineChars="950"/>
              <w:rPr>
                <w:rFonts w:ascii="宋体" w:hAnsi="宋体"/>
                <w:sz w:val="24"/>
                <w:szCs w:val="24"/>
              </w:rPr>
            </w:pP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9900" w:type="dxa"/>
            <w:gridSpan w:val="12"/>
            <w:tcBorders>
              <w:top w:val="single" w:color="auto" w:sz="4" w:space="0"/>
              <w:left w:val="single" w:color="auto" w:sz="4" w:space="0"/>
              <w:bottom w:val="single" w:color="auto" w:sz="4" w:space="0"/>
            </w:tcBorders>
          </w:tcPr>
          <w:p>
            <w:pPr>
              <w:rPr>
                <w:rFonts w:ascii="宋体" w:hAnsi="宋体"/>
                <w:sz w:val="24"/>
                <w:szCs w:val="24"/>
              </w:rPr>
            </w:pPr>
            <w:r>
              <w:rPr>
                <w:rFonts w:hint="eastAsia" w:ascii="宋体" w:hAnsi="宋体"/>
                <w:sz w:val="24"/>
                <w:szCs w:val="24"/>
              </w:rPr>
              <w:t>学院（中心）审核意见：</w:t>
            </w:r>
          </w:p>
          <w:p>
            <w:pPr>
              <w:ind w:firstLine="5040" w:firstLineChars="2100"/>
              <w:rPr>
                <w:rFonts w:ascii="宋体" w:hAnsi="宋体"/>
                <w:sz w:val="24"/>
                <w:szCs w:val="24"/>
              </w:rPr>
            </w:pPr>
            <w:r>
              <w:rPr>
                <w:rFonts w:hint="eastAsia" w:ascii="宋体" w:hAnsi="宋体"/>
                <w:sz w:val="24"/>
                <w:szCs w:val="24"/>
              </w:rPr>
              <w:t>负责人（签字、盖章）：</w:t>
            </w:r>
          </w:p>
          <w:p>
            <w:pPr>
              <w:ind w:firstLine="7440" w:firstLineChars="3100"/>
              <w:rPr>
                <w:rFonts w:ascii="宋体" w:hAnsi="宋体"/>
                <w:sz w:val="24"/>
                <w:szCs w:val="24"/>
              </w:rPr>
            </w:pPr>
            <w:r>
              <w:rPr>
                <w:rFonts w:hint="eastAsia" w:ascii="宋体" w:hAnsi="宋体"/>
                <w:sz w:val="24"/>
                <w:szCs w:val="24"/>
              </w:rPr>
              <w:t>年    月    日</w:t>
            </w:r>
          </w:p>
        </w:tc>
      </w:tr>
    </w:tbl>
    <w:p>
      <w:pPr>
        <w:spacing w:line="300" w:lineRule="exact"/>
        <w:ind w:left="-958" w:leftChars="-342" w:firstLine="420" w:firstLineChars="200"/>
        <w:rPr>
          <w:rFonts w:ascii="宋体" w:hAnsi="宋体"/>
          <w:sz w:val="21"/>
          <w:szCs w:val="21"/>
        </w:rPr>
      </w:pPr>
      <w:r>
        <w:rPr>
          <w:rFonts w:hint="eastAsia" w:ascii="宋体" w:hAnsi="宋体"/>
          <w:sz w:val="21"/>
          <w:szCs w:val="21"/>
        </w:rPr>
        <w:t>备注：说明收费计量单位，若同时有按机时和样品收费方式，请予以分别说明。</w:t>
      </w:r>
    </w:p>
    <w:p>
      <w:pPr>
        <w:widowControl/>
        <w:jc w:val="left"/>
        <w:rPr>
          <w:rFonts w:ascii="宋体" w:hAnsi="宋体"/>
          <w:sz w:val="21"/>
          <w:szCs w:val="21"/>
        </w:rPr>
      </w:pPr>
      <w:r>
        <w:rPr>
          <w:rFonts w:ascii="宋体" w:hAnsi="宋体"/>
          <w:sz w:val="21"/>
          <w:szCs w:val="21"/>
        </w:rPr>
        <w:br w:type="page"/>
      </w:r>
    </w:p>
    <w:p>
      <w:pPr>
        <w:spacing w:line="500" w:lineRule="exact"/>
        <w:rPr>
          <w:rFonts w:ascii="黑体" w:hAnsi="黑体" w:eastAsia="黑体" w:cs="黑体"/>
        </w:rPr>
      </w:pPr>
      <w:r>
        <w:rPr>
          <w:rFonts w:hint="eastAsia" w:ascii="黑体" w:hAnsi="黑体" w:eastAsia="黑体" w:cs="黑体"/>
        </w:rPr>
        <w:t>附件2</w:t>
      </w:r>
    </w:p>
    <w:p>
      <w:pPr>
        <w:spacing w:line="160" w:lineRule="exact"/>
        <w:rPr>
          <w:rFonts w:ascii="宋体" w:hAnsi="宋体" w:cs="黑体"/>
          <w:sz w:val="32"/>
          <w:szCs w:val="32"/>
        </w:rPr>
      </w:pPr>
    </w:p>
    <w:p>
      <w:pPr>
        <w:adjustRightInd w:val="0"/>
        <w:spacing w:line="500" w:lineRule="exact"/>
        <w:contextualSpacing/>
        <w:jc w:val="center"/>
        <w:rPr>
          <w:rFonts w:ascii="宋体" w:hAnsi="宋体" w:cs="方正小标宋简体"/>
          <w:bCs/>
          <w:color w:val="000000"/>
          <w:sz w:val="36"/>
          <w:szCs w:val="36"/>
        </w:rPr>
      </w:pPr>
      <w:r>
        <w:rPr>
          <w:rFonts w:hint="eastAsia" w:ascii="宋体" w:hAnsi="宋体" w:cs="方正小标宋简体"/>
          <w:bCs/>
          <w:color w:val="000000"/>
          <w:sz w:val="36"/>
          <w:szCs w:val="36"/>
        </w:rPr>
        <w:t>衢州学院仪器设备开放服务缴款通知单</w:t>
      </w:r>
    </w:p>
    <w:p>
      <w:pPr>
        <w:adjustRightInd w:val="0"/>
        <w:spacing w:line="160" w:lineRule="exact"/>
        <w:contextualSpacing/>
        <w:jc w:val="center"/>
        <w:rPr>
          <w:rFonts w:ascii="宋体" w:hAnsi="宋体" w:cs="方正小标宋简体"/>
          <w:bCs/>
          <w:color w:val="000000"/>
          <w:sz w:val="44"/>
          <w:szCs w:val="44"/>
        </w:rPr>
      </w:pPr>
    </w:p>
    <w:p>
      <w:pPr>
        <w:adjustRightInd w:val="0"/>
        <w:spacing w:line="400" w:lineRule="exact"/>
        <w:contextualSpacing/>
        <w:jc w:val="left"/>
        <w:rPr>
          <w:rFonts w:ascii="宋体" w:hAnsi="宋体"/>
          <w:b/>
          <w:sz w:val="24"/>
          <w:szCs w:val="24"/>
        </w:rPr>
      </w:pPr>
      <w:r>
        <w:rPr>
          <w:rFonts w:hint="eastAsia" w:ascii="宋体" w:hAnsi="宋体"/>
          <w:sz w:val="24"/>
          <w:szCs w:val="24"/>
        </w:rPr>
        <w:t>所属学院（中心）及实验室：                     使用日期：</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09"/>
        <w:gridCol w:w="426"/>
        <w:gridCol w:w="751"/>
        <w:gridCol w:w="612"/>
        <w:gridCol w:w="947"/>
        <w:gridCol w:w="433"/>
        <w:gridCol w:w="1268"/>
        <w:gridCol w:w="11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368" w:type="dxa"/>
            <w:vAlign w:val="center"/>
          </w:tcPr>
          <w:p>
            <w:pPr>
              <w:spacing w:before="198" w:beforeLines="50" w:after="198" w:afterLines="50" w:line="240" w:lineRule="exact"/>
              <w:jc w:val="center"/>
              <w:rPr>
                <w:rFonts w:ascii="宋体" w:hAnsi="宋体"/>
                <w:sz w:val="24"/>
                <w:szCs w:val="24"/>
              </w:rPr>
            </w:pPr>
            <w:r>
              <w:rPr>
                <w:rFonts w:hint="eastAsia" w:ascii="宋体" w:hAnsi="宋体"/>
                <w:sz w:val="24"/>
                <w:szCs w:val="24"/>
              </w:rPr>
              <w:t>仪器名称</w:t>
            </w:r>
          </w:p>
        </w:tc>
        <w:tc>
          <w:tcPr>
            <w:tcW w:w="2835" w:type="dxa"/>
            <w:gridSpan w:val="2"/>
          </w:tcPr>
          <w:p>
            <w:pPr>
              <w:spacing w:before="198" w:beforeLines="50" w:after="198" w:afterLines="50" w:line="240" w:lineRule="exact"/>
              <w:rPr>
                <w:rFonts w:ascii="宋体" w:hAnsi="宋体"/>
                <w:sz w:val="24"/>
                <w:szCs w:val="24"/>
              </w:rPr>
            </w:pPr>
          </w:p>
        </w:tc>
        <w:tc>
          <w:tcPr>
            <w:tcW w:w="1363" w:type="dxa"/>
            <w:gridSpan w:val="2"/>
          </w:tcPr>
          <w:p>
            <w:pPr>
              <w:spacing w:before="198" w:beforeLines="50" w:after="198" w:afterLines="50" w:line="240" w:lineRule="exact"/>
              <w:rPr>
                <w:rFonts w:ascii="宋体" w:hAnsi="宋体"/>
                <w:sz w:val="24"/>
                <w:szCs w:val="24"/>
              </w:rPr>
            </w:pPr>
            <w:r>
              <w:rPr>
                <w:rFonts w:hint="eastAsia" w:ascii="宋体" w:hAnsi="宋体"/>
                <w:sz w:val="24"/>
                <w:szCs w:val="24"/>
              </w:rPr>
              <w:t>仪器编号</w:t>
            </w:r>
          </w:p>
        </w:tc>
        <w:tc>
          <w:tcPr>
            <w:tcW w:w="1380" w:type="dxa"/>
            <w:gridSpan w:val="2"/>
          </w:tcPr>
          <w:p>
            <w:pPr>
              <w:spacing w:before="198" w:beforeLines="50" w:after="198" w:afterLines="50" w:line="240" w:lineRule="exact"/>
              <w:rPr>
                <w:rFonts w:ascii="宋体" w:hAnsi="宋体"/>
                <w:sz w:val="24"/>
                <w:szCs w:val="24"/>
              </w:rPr>
            </w:pPr>
          </w:p>
        </w:tc>
        <w:tc>
          <w:tcPr>
            <w:tcW w:w="1380" w:type="dxa"/>
            <w:gridSpan w:val="2"/>
          </w:tcPr>
          <w:p>
            <w:pPr>
              <w:spacing w:before="198" w:beforeLines="50" w:after="198" w:afterLines="50" w:line="240" w:lineRule="exact"/>
              <w:jc w:val="center"/>
              <w:rPr>
                <w:rFonts w:ascii="宋体" w:hAnsi="宋体"/>
                <w:sz w:val="24"/>
                <w:szCs w:val="24"/>
              </w:rPr>
            </w:pPr>
            <w:r>
              <w:rPr>
                <w:rFonts w:hint="eastAsia" w:ascii="宋体" w:hAnsi="宋体"/>
                <w:sz w:val="24"/>
                <w:szCs w:val="24"/>
              </w:rPr>
              <w:t>负责人</w:t>
            </w:r>
          </w:p>
        </w:tc>
        <w:tc>
          <w:tcPr>
            <w:tcW w:w="1381" w:type="dxa"/>
          </w:tcPr>
          <w:p>
            <w:pPr>
              <w:spacing w:before="198" w:beforeLines="50" w:after="198" w:afterLines="50" w:line="2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68" w:type="dxa"/>
            <w:vAlign w:val="center"/>
          </w:tcPr>
          <w:p>
            <w:pPr>
              <w:spacing w:line="240" w:lineRule="exact"/>
              <w:jc w:val="center"/>
              <w:rPr>
                <w:rFonts w:ascii="宋体" w:hAnsi="宋体"/>
                <w:sz w:val="24"/>
                <w:szCs w:val="24"/>
              </w:rPr>
            </w:pPr>
            <w:r>
              <w:rPr>
                <w:rFonts w:hint="eastAsia" w:ascii="宋体" w:hAnsi="宋体"/>
                <w:sz w:val="24"/>
                <w:szCs w:val="24"/>
              </w:rPr>
              <w:t>仪器名称</w:t>
            </w:r>
          </w:p>
        </w:tc>
        <w:tc>
          <w:tcPr>
            <w:tcW w:w="2835" w:type="dxa"/>
            <w:gridSpan w:val="2"/>
            <w:vAlign w:val="center"/>
          </w:tcPr>
          <w:p>
            <w:pPr>
              <w:spacing w:line="240" w:lineRule="exact"/>
              <w:jc w:val="center"/>
              <w:rPr>
                <w:rFonts w:ascii="宋体" w:hAnsi="宋体"/>
                <w:sz w:val="24"/>
                <w:szCs w:val="24"/>
              </w:rPr>
            </w:pPr>
            <w:r>
              <w:rPr>
                <w:rFonts w:hint="eastAsia" w:ascii="宋体" w:hAnsi="宋体"/>
                <w:sz w:val="24"/>
                <w:szCs w:val="24"/>
              </w:rPr>
              <w:t>校内</w:t>
            </w:r>
            <w:r>
              <w:rPr>
                <w:rFonts w:hint="eastAsia" w:ascii="宋体" w:hAnsi="宋体"/>
                <w:kern w:val="0"/>
                <w:sz w:val="24"/>
                <w:szCs w:val="24"/>
              </w:rPr>
              <w:t>□</w:t>
            </w:r>
            <w:r>
              <w:rPr>
                <w:rFonts w:hint="eastAsia" w:ascii="宋体" w:hAnsi="宋体"/>
                <w:sz w:val="24"/>
                <w:szCs w:val="24"/>
              </w:rPr>
              <w:t xml:space="preserve">   校外</w:t>
            </w:r>
            <w:r>
              <w:rPr>
                <w:rFonts w:hint="eastAsia" w:ascii="宋体" w:hAnsi="宋体"/>
                <w:kern w:val="0"/>
                <w:sz w:val="24"/>
                <w:szCs w:val="24"/>
              </w:rPr>
              <w:t>□</w:t>
            </w:r>
          </w:p>
        </w:tc>
        <w:tc>
          <w:tcPr>
            <w:tcW w:w="2310" w:type="dxa"/>
            <w:gridSpan w:val="3"/>
            <w:vAlign w:val="center"/>
          </w:tcPr>
          <w:p>
            <w:pPr>
              <w:spacing w:line="240" w:lineRule="exact"/>
              <w:jc w:val="center"/>
              <w:rPr>
                <w:rFonts w:ascii="宋体" w:hAnsi="宋体"/>
                <w:sz w:val="24"/>
                <w:szCs w:val="24"/>
              </w:rPr>
            </w:pPr>
            <w:r>
              <w:rPr>
                <w:rFonts w:hint="eastAsia" w:ascii="宋体" w:hAnsi="宋体"/>
                <w:sz w:val="24"/>
                <w:szCs w:val="24"/>
              </w:rPr>
              <w:t>交款单位及人员</w:t>
            </w:r>
          </w:p>
        </w:tc>
        <w:tc>
          <w:tcPr>
            <w:tcW w:w="3194" w:type="dxa"/>
            <w:gridSpan w:val="4"/>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8" w:type="dxa"/>
            <w:vAlign w:val="center"/>
          </w:tcPr>
          <w:p>
            <w:pPr>
              <w:spacing w:line="240" w:lineRule="exact"/>
              <w:rPr>
                <w:rFonts w:ascii="宋体" w:hAnsi="宋体"/>
                <w:sz w:val="24"/>
                <w:szCs w:val="24"/>
              </w:rPr>
            </w:pPr>
            <w:r>
              <w:rPr>
                <w:rFonts w:hint="eastAsia" w:ascii="宋体" w:hAnsi="宋体"/>
                <w:sz w:val="24"/>
                <w:szCs w:val="24"/>
              </w:rPr>
              <w:t>服务项目</w:t>
            </w:r>
          </w:p>
        </w:tc>
        <w:tc>
          <w:tcPr>
            <w:tcW w:w="2409" w:type="dxa"/>
            <w:vAlign w:val="center"/>
          </w:tcPr>
          <w:p>
            <w:pPr>
              <w:spacing w:line="240" w:lineRule="exact"/>
              <w:jc w:val="center"/>
              <w:rPr>
                <w:rFonts w:ascii="宋体" w:hAnsi="宋体"/>
                <w:sz w:val="24"/>
                <w:szCs w:val="24"/>
              </w:rPr>
            </w:pPr>
            <w:r>
              <w:rPr>
                <w:rFonts w:hint="eastAsia" w:ascii="宋体" w:hAnsi="宋体"/>
                <w:sz w:val="24"/>
                <w:szCs w:val="24"/>
              </w:rPr>
              <w:t>单位收费标准（元</w:t>
            </w:r>
            <w:r>
              <w:rPr>
                <w:rFonts w:ascii="宋体" w:hAnsi="宋体"/>
                <w:sz w:val="24"/>
                <w:szCs w:val="24"/>
              </w:rPr>
              <w:t>/</w:t>
            </w:r>
            <w:r>
              <w:rPr>
                <w:rFonts w:hint="eastAsia" w:ascii="宋体" w:hAnsi="宋体"/>
                <w:sz w:val="24"/>
                <w:szCs w:val="24"/>
              </w:rPr>
              <w:t>样或机时）</w:t>
            </w:r>
          </w:p>
        </w:tc>
        <w:tc>
          <w:tcPr>
            <w:tcW w:w="1177" w:type="dxa"/>
            <w:gridSpan w:val="2"/>
            <w:vAlign w:val="center"/>
          </w:tcPr>
          <w:p>
            <w:pPr>
              <w:spacing w:line="240" w:lineRule="exact"/>
              <w:jc w:val="center"/>
              <w:rPr>
                <w:rFonts w:ascii="宋体" w:hAnsi="宋体"/>
                <w:sz w:val="24"/>
                <w:szCs w:val="24"/>
              </w:rPr>
            </w:pPr>
            <w:r>
              <w:rPr>
                <w:rFonts w:hint="eastAsia" w:ascii="宋体" w:hAnsi="宋体"/>
                <w:sz w:val="24"/>
                <w:szCs w:val="24"/>
              </w:rPr>
              <w:t>服务机时（样）数</w:t>
            </w:r>
          </w:p>
        </w:tc>
        <w:tc>
          <w:tcPr>
            <w:tcW w:w="1559" w:type="dxa"/>
            <w:gridSpan w:val="2"/>
            <w:vAlign w:val="center"/>
          </w:tcPr>
          <w:p>
            <w:pPr>
              <w:spacing w:line="240" w:lineRule="exact"/>
              <w:jc w:val="center"/>
              <w:rPr>
                <w:rFonts w:ascii="宋体" w:hAnsi="宋体"/>
                <w:sz w:val="24"/>
                <w:szCs w:val="24"/>
              </w:rPr>
            </w:pPr>
            <w:r>
              <w:rPr>
                <w:rFonts w:hint="eastAsia" w:ascii="宋体" w:hAnsi="宋体"/>
                <w:sz w:val="24"/>
                <w:szCs w:val="24"/>
              </w:rPr>
              <w:t>应交款（元）</w:t>
            </w:r>
          </w:p>
        </w:tc>
        <w:tc>
          <w:tcPr>
            <w:tcW w:w="1701" w:type="dxa"/>
            <w:gridSpan w:val="2"/>
            <w:vAlign w:val="center"/>
          </w:tcPr>
          <w:p>
            <w:pPr>
              <w:spacing w:line="240" w:lineRule="exact"/>
              <w:jc w:val="center"/>
              <w:rPr>
                <w:rFonts w:ascii="宋体" w:hAnsi="宋体"/>
                <w:sz w:val="24"/>
                <w:szCs w:val="24"/>
              </w:rPr>
            </w:pPr>
            <w:r>
              <w:rPr>
                <w:rFonts w:hint="eastAsia" w:ascii="宋体" w:hAnsi="宋体"/>
                <w:sz w:val="24"/>
                <w:szCs w:val="24"/>
              </w:rPr>
              <w:t>实交款（元）</w:t>
            </w:r>
          </w:p>
        </w:tc>
        <w:tc>
          <w:tcPr>
            <w:tcW w:w="1493" w:type="dxa"/>
            <w:gridSpan w:val="2"/>
            <w:vAlign w:val="center"/>
          </w:tcPr>
          <w:p>
            <w:pPr>
              <w:spacing w:line="240" w:lineRule="exact"/>
              <w:jc w:val="center"/>
              <w:rPr>
                <w:rFonts w:ascii="宋体" w:hAnsi="宋体"/>
                <w:sz w:val="24"/>
                <w:szCs w:val="24"/>
              </w:rPr>
            </w:pPr>
            <w:r>
              <w:rPr>
                <w:rFonts w:hint="eastAsia" w:ascii="宋体" w:hAnsi="宋体"/>
                <w:sz w:val="24"/>
                <w:szCs w:val="24"/>
              </w:rPr>
              <w:t>项目经费代码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68" w:type="dxa"/>
            <w:vAlign w:val="center"/>
          </w:tcPr>
          <w:p>
            <w:pPr>
              <w:spacing w:line="240" w:lineRule="exact"/>
              <w:jc w:val="center"/>
              <w:rPr>
                <w:rFonts w:ascii="宋体" w:hAnsi="宋体"/>
                <w:sz w:val="24"/>
                <w:szCs w:val="24"/>
              </w:rPr>
            </w:pPr>
          </w:p>
        </w:tc>
        <w:tc>
          <w:tcPr>
            <w:tcW w:w="2409" w:type="dxa"/>
            <w:vAlign w:val="center"/>
          </w:tcPr>
          <w:p>
            <w:pPr>
              <w:spacing w:line="240" w:lineRule="exact"/>
              <w:jc w:val="center"/>
              <w:rPr>
                <w:rFonts w:ascii="宋体" w:hAnsi="宋体"/>
                <w:sz w:val="24"/>
                <w:szCs w:val="24"/>
              </w:rPr>
            </w:pPr>
          </w:p>
        </w:tc>
        <w:tc>
          <w:tcPr>
            <w:tcW w:w="1177" w:type="dxa"/>
            <w:gridSpan w:val="2"/>
            <w:vAlign w:val="center"/>
          </w:tcPr>
          <w:p>
            <w:pPr>
              <w:spacing w:line="240" w:lineRule="exact"/>
              <w:jc w:val="center"/>
              <w:rPr>
                <w:rFonts w:ascii="宋体" w:hAnsi="宋体"/>
                <w:sz w:val="24"/>
                <w:szCs w:val="24"/>
              </w:rPr>
            </w:pPr>
          </w:p>
        </w:tc>
        <w:tc>
          <w:tcPr>
            <w:tcW w:w="1559" w:type="dxa"/>
            <w:gridSpan w:val="2"/>
            <w:vAlign w:val="center"/>
          </w:tcPr>
          <w:p>
            <w:pPr>
              <w:spacing w:line="240" w:lineRule="exact"/>
              <w:jc w:val="center"/>
              <w:rPr>
                <w:rFonts w:ascii="宋体" w:hAnsi="宋体"/>
                <w:sz w:val="24"/>
                <w:szCs w:val="24"/>
              </w:rPr>
            </w:pPr>
          </w:p>
        </w:tc>
        <w:tc>
          <w:tcPr>
            <w:tcW w:w="1701" w:type="dxa"/>
            <w:gridSpan w:val="2"/>
            <w:vAlign w:val="center"/>
          </w:tcPr>
          <w:p>
            <w:pPr>
              <w:spacing w:line="240" w:lineRule="exact"/>
              <w:jc w:val="center"/>
              <w:rPr>
                <w:rFonts w:ascii="宋体" w:hAnsi="宋体"/>
                <w:sz w:val="24"/>
                <w:szCs w:val="24"/>
              </w:rPr>
            </w:pPr>
          </w:p>
        </w:tc>
        <w:tc>
          <w:tcPr>
            <w:tcW w:w="1493" w:type="dxa"/>
            <w:gridSpan w:val="2"/>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68" w:type="dxa"/>
            <w:vAlign w:val="center"/>
          </w:tcPr>
          <w:p>
            <w:pPr>
              <w:spacing w:line="240" w:lineRule="exact"/>
              <w:jc w:val="center"/>
              <w:rPr>
                <w:rFonts w:ascii="宋体" w:hAnsi="宋体"/>
                <w:sz w:val="24"/>
                <w:szCs w:val="24"/>
              </w:rPr>
            </w:pPr>
          </w:p>
        </w:tc>
        <w:tc>
          <w:tcPr>
            <w:tcW w:w="2409" w:type="dxa"/>
            <w:vAlign w:val="center"/>
          </w:tcPr>
          <w:p>
            <w:pPr>
              <w:spacing w:line="240" w:lineRule="exact"/>
              <w:jc w:val="center"/>
              <w:rPr>
                <w:rFonts w:ascii="宋体" w:hAnsi="宋体"/>
                <w:sz w:val="24"/>
                <w:szCs w:val="24"/>
              </w:rPr>
            </w:pPr>
          </w:p>
        </w:tc>
        <w:tc>
          <w:tcPr>
            <w:tcW w:w="1177" w:type="dxa"/>
            <w:gridSpan w:val="2"/>
            <w:vAlign w:val="center"/>
          </w:tcPr>
          <w:p>
            <w:pPr>
              <w:spacing w:line="240" w:lineRule="exact"/>
              <w:jc w:val="center"/>
              <w:rPr>
                <w:rFonts w:ascii="宋体" w:hAnsi="宋体"/>
                <w:sz w:val="24"/>
                <w:szCs w:val="24"/>
              </w:rPr>
            </w:pPr>
          </w:p>
        </w:tc>
        <w:tc>
          <w:tcPr>
            <w:tcW w:w="1559" w:type="dxa"/>
            <w:gridSpan w:val="2"/>
            <w:vAlign w:val="center"/>
          </w:tcPr>
          <w:p>
            <w:pPr>
              <w:spacing w:line="240" w:lineRule="exact"/>
              <w:jc w:val="center"/>
              <w:rPr>
                <w:rFonts w:ascii="宋体" w:hAnsi="宋体"/>
                <w:sz w:val="24"/>
                <w:szCs w:val="24"/>
              </w:rPr>
            </w:pPr>
          </w:p>
        </w:tc>
        <w:tc>
          <w:tcPr>
            <w:tcW w:w="1701" w:type="dxa"/>
            <w:gridSpan w:val="2"/>
            <w:vAlign w:val="center"/>
          </w:tcPr>
          <w:p>
            <w:pPr>
              <w:spacing w:line="240" w:lineRule="exact"/>
              <w:jc w:val="center"/>
              <w:rPr>
                <w:rFonts w:ascii="宋体" w:hAnsi="宋体"/>
                <w:sz w:val="24"/>
                <w:szCs w:val="24"/>
              </w:rPr>
            </w:pPr>
          </w:p>
        </w:tc>
        <w:tc>
          <w:tcPr>
            <w:tcW w:w="1493" w:type="dxa"/>
            <w:gridSpan w:val="2"/>
            <w:vAlign w:val="center"/>
          </w:tcPr>
          <w:p>
            <w:pPr>
              <w:spacing w:line="240" w:lineRule="exact"/>
              <w:jc w:val="center"/>
              <w:rPr>
                <w:rFonts w:ascii="宋体" w:hAnsi="宋体"/>
                <w:sz w:val="24"/>
                <w:szCs w:val="24"/>
              </w:rPr>
            </w:pPr>
          </w:p>
        </w:tc>
      </w:tr>
    </w:tbl>
    <w:p>
      <w:pPr>
        <w:spacing w:line="240" w:lineRule="exact"/>
        <w:ind w:left="-958" w:leftChars="-342" w:firstLine="240" w:firstLineChars="100"/>
        <w:rPr>
          <w:rFonts w:ascii="宋体" w:hAnsi="宋体"/>
          <w:b/>
          <w:color w:val="000000"/>
          <w:sz w:val="24"/>
          <w:szCs w:val="24"/>
        </w:rPr>
      </w:pPr>
      <w:r>
        <w:rPr>
          <w:rFonts w:hint="eastAsia" w:ascii="宋体" w:hAnsi="宋体"/>
          <w:sz w:val="24"/>
          <w:szCs w:val="24"/>
        </w:rPr>
        <w:t>（第一联：所属部门留存）</w:t>
      </w:r>
    </w:p>
    <w:p>
      <w:pPr>
        <w:spacing w:line="240" w:lineRule="exact"/>
        <w:jc w:val="center"/>
        <w:rPr>
          <w:rFonts w:ascii="宋体" w:hAnsi="宋体"/>
          <w:b/>
          <w:color w:val="000000"/>
          <w:sz w:val="24"/>
          <w:szCs w:val="24"/>
        </w:rPr>
      </w:pPr>
    </w:p>
    <w:p>
      <w:pPr>
        <w:spacing w:line="240" w:lineRule="exact"/>
        <w:jc w:val="center"/>
        <w:rPr>
          <w:rFonts w:ascii="宋体" w:hAnsi="宋体"/>
          <w:b/>
          <w:color w:val="000000"/>
          <w:sz w:val="24"/>
          <w:szCs w:val="24"/>
        </w:rPr>
      </w:pPr>
      <w:r>
        <w:rPr>
          <w:rFonts w:hint="eastAsia" w:ascii="宋体" w:hAnsi="宋体"/>
          <w:b/>
          <w:color w:val="000000"/>
          <w:sz w:val="24"/>
          <w:szCs w:val="24"/>
        </w:rPr>
        <w:t>---------------------------------------------</w:t>
      </w:r>
    </w:p>
    <w:p>
      <w:pPr>
        <w:adjustRightInd w:val="0"/>
        <w:spacing w:line="500" w:lineRule="exact"/>
        <w:contextualSpacing/>
        <w:jc w:val="center"/>
        <w:rPr>
          <w:rFonts w:ascii="宋体" w:hAnsi="宋体" w:cs="方正小标宋简体"/>
          <w:bCs/>
          <w:color w:val="000000"/>
          <w:sz w:val="24"/>
          <w:szCs w:val="24"/>
        </w:rPr>
      </w:pPr>
      <w:r>
        <w:rPr>
          <w:rFonts w:hint="eastAsia" w:ascii="宋体" w:hAnsi="宋体" w:cs="方正小标宋简体"/>
          <w:bCs/>
          <w:color w:val="000000"/>
          <w:sz w:val="24"/>
          <w:szCs w:val="24"/>
        </w:rPr>
        <w:t>衢州学院仪器设备开放服务缴款通知单</w:t>
      </w:r>
    </w:p>
    <w:p>
      <w:pPr>
        <w:adjustRightInd w:val="0"/>
        <w:spacing w:line="160" w:lineRule="exact"/>
        <w:contextualSpacing/>
        <w:jc w:val="center"/>
        <w:rPr>
          <w:rFonts w:ascii="宋体" w:hAnsi="宋体" w:cs="方正小标宋简体"/>
          <w:bCs/>
          <w:color w:val="000000"/>
          <w:sz w:val="24"/>
          <w:szCs w:val="24"/>
        </w:rPr>
      </w:pPr>
    </w:p>
    <w:p>
      <w:pPr>
        <w:adjustRightInd w:val="0"/>
        <w:spacing w:line="400" w:lineRule="exact"/>
        <w:contextualSpacing/>
        <w:jc w:val="left"/>
        <w:rPr>
          <w:rFonts w:ascii="宋体" w:hAnsi="宋体"/>
          <w:b/>
          <w:sz w:val="24"/>
          <w:szCs w:val="24"/>
        </w:rPr>
      </w:pPr>
      <w:r>
        <w:rPr>
          <w:rFonts w:hint="eastAsia" w:ascii="宋体" w:hAnsi="宋体"/>
          <w:sz w:val="24"/>
          <w:szCs w:val="24"/>
        </w:rPr>
        <w:t>所属学院（中心）及实验室：                                 使用日期：</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942"/>
        <w:gridCol w:w="567"/>
        <w:gridCol w:w="610"/>
        <w:gridCol w:w="612"/>
        <w:gridCol w:w="947"/>
        <w:gridCol w:w="433"/>
        <w:gridCol w:w="1268"/>
        <w:gridCol w:w="11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835" w:type="dxa"/>
            <w:vAlign w:val="center"/>
          </w:tcPr>
          <w:p>
            <w:pPr>
              <w:spacing w:before="198" w:beforeLines="50" w:after="198" w:afterLines="50" w:line="240" w:lineRule="exact"/>
              <w:jc w:val="center"/>
              <w:rPr>
                <w:rFonts w:ascii="宋体" w:hAnsi="宋体"/>
                <w:sz w:val="24"/>
                <w:szCs w:val="24"/>
              </w:rPr>
            </w:pPr>
            <w:r>
              <w:rPr>
                <w:rFonts w:hint="eastAsia" w:ascii="宋体" w:hAnsi="宋体"/>
                <w:sz w:val="24"/>
                <w:szCs w:val="24"/>
              </w:rPr>
              <w:t>仪器名称</w:t>
            </w:r>
          </w:p>
        </w:tc>
        <w:tc>
          <w:tcPr>
            <w:tcW w:w="2509" w:type="dxa"/>
            <w:gridSpan w:val="2"/>
          </w:tcPr>
          <w:p>
            <w:pPr>
              <w:spacing w:before="198" w:beforeLines="50" w:after="198" w:afterLines="50" w:line="240" w:lineRule="exact"/>
              <w:rPr>
                <w:rFonts w:ascii="宋体" w:hAnsi="宋体"/>
                <w:sz w:val="24"/>
                <w:szCs w:val="24"/>
              </w:rPr>
            </w:pPr>
          </w:p>
        </w:tc>
        <w:tc>
          <w:tcPr>
            <w:tcW w:w="1222" w:type="dxa"/>
            <w:gridSpan w:val="2"/>
          </w:tcPr>
          <w:p>
            <w:pPr>
              <w:spacing w:before="198" w:beforeLines="50" w:after="198" w:afterLines="50" w:line="240" w:lineRule="exact"/>
              <w:rPr>
                <w:rFonts w:ascii="宋体" w:hAnsi="宋体"/>
                <w:sz w:val="24"/>
                <w:szCs w:val="24"/>
              </w:rPr>
            </w:pPr>
            <w:r>
              <w:rPr>
                <w:rFonts w:hint="eastAsia" w:ascii="宋体" w:hAnsi="宋体"/>
                <w:sz w:val="24"/>
                <w:szCs w:val="24"/>
              </w:rPr>
              <w:t>仪器编号</w:t>
            </w:r>
          </w:p>
        </w:tc>
        <w:tc>
          <w:tcPr>
            <w:tcW w:w="1380" w:type="dxa"/>
            <w:gridSpan w:val="2"/>
          </w:tcPr>
          <w:p>
            <w:pPr>
              <w:spacing w:before="198" w:beforeLines="50" w:after="198" w:afterLines="50" w:line="240" w:lineRule="exact"/>
              <w:rPr>
                <w:rFonts w:ascii="宋体" w:hAnsi="宋体"/>
                <w:sz w:val="24"/>
                <w:szCs w:val="24"/>
              </w:rPr>
            </w:pPr>
          </w:p>
        </w:tc>
        <w:tc>
          <w:tcPr>
            <w:tcW w:w="1380" w:type="dxa"/>
            <w:gridSpan w:val="2"/>
          </w:tcPr>
          <w:p>
            <w:pPr>
              <w:spacing w:before="198" w:beforeLines="50" w:after="198" w:afterLines="50" w:line="240" w:lineRule="exact"/>
              <w:jc w:val="center"/>
              <w:rPr>
                <w:rFonts w:ascii="宋体" w:hAnsi="宋体"/>
                <w:sz w:val="24"/>
                <w:szCs w:val="24"/>
              </w:rPr>
            </w:pPr>
            <w:r>
              <w:rPr>
                <w:rFonts w:hint="eastAsia" w:ascii="宋体" w:hAnsi="宋体"/>
                <w:sz w:val="24"/>
                <w:szCs w:val="24"/>
              </w:rPr>
              <w:t>负责人</w:t>
            </w:r>
          </w:p>
        </w:tc>
        <w:tc>
          <w:tcPr>
            <w:tcW w:w="1381" w:type="dxa"/>
          </w:tcPr>
          <w:p>
            <w:pPr>
              <w:spacing w:before="198" w:beforeLines="50" w:after="198" w:afterLines="50" w:line="2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35" w:type="dxa"/>
            <w:vAlign w:val="center"/>
          </w:tcPr>
          <w:p>
            <w:pPr>
              <w:spacing w:line="240" w:lineRule="exact"/>
              <w:jc w:val="center"/>
              <w:rPr>
                <w:rFonts w:ascii="宋体" w:hAnsi="宋体"/>
                <w:sz w:val="24"/>
                <w:szCs w:val="24"/>
              </w:rPr>
            </w:pPr>
            <w:r>
              <w:rPr>
                <w:rFonts w:hint="eastAsia" w:ascii="宋体" w:hAnsi="宋体"/>
                <w:sz w:val="24"/>
                <w:szCs w:val="24"/>
              </w:rPr>
              <w:t>服务对象</w:t>
            </w:r>
          </w:p>
        </w:tc>
        <w:tc>
          <w:tcPr>
            <w:tcW w:w="2509" w:type="dxa"/>
            <w:gridSpan w:val="2"/>
            <w:vAlign w:val="center"/>
          </w:tcPr>
          <w:p>
            <w:pPr>
              <w:spacing w:line="240" w:lineRule="exact"/>
              <w:jc w:val="center"/>
              <w:rPr>
                <w:rFonts w:ascii="宋体" w:hAnsi="宋体"/>
                <w:sz w:val="24"/>
                <w:szCs w:val="24"/>
              </w:rPr>
            </w:pPr>
            <w:r>
              <w:rPr>
                <w:rFonts w:hint="eastAsia" w:ascii="宋体" w:hAnsi="宋体"/>
                <w:sz w:val="24"/>
                <w:szCs w:val="24"/>
              </w:rPr>
              <w:t>校内</w:t>
            </w:r>
            <w:r>
              <w:rPr>
                <w:rFonts w:hint="eastAsia" w:ascii="宋体" w:hAnsi="宋体"/>
                <w:kern w:val="0"/>
                <w:sz w:val="24"/>
                <w:szCs w:val="24"/>
              </w:rPr>
              <w:t>□</w:t>
            </w:r>
            <w:r>
              <w:rPr>
                <w:rFonts w:hint="eastAsia" w:ascii="宋体" w:hAnsi="宋体"/>
                <w:sz w:val="24"/>
                <w:szCs w:val="24"/>
              </w:rPr>
              <w:t xml:space="preserve">   校外</w:t>
            </w:r>
            <w:r>
              <w:rPr>
                <w:rFonts w:hint="eastAsia" w:ascii="宋体" w:hAnsi="宋体"/>
                <w:kern w:val="0"/>
                <w:sz w:val="24"/>
                <w:szCs w:val="24"/>
              </w:rPr>
              <w:t>□</w:t>
            </w:r>
          </w:p>
        </w:tc>
        <w:tc>
          <w:tcPr>
            <w:tcW w:w="2169" w:type="dxa"/>
            <w:gridSpan w:val="3"/>
            <w:vAlign w:val="center"/>
          </w:tcPr>
          <w:p>
            <w:pPr>
              <w:spacing w:line="240" w:lineRule="exact"/>
              <w:jc w:val="center"/>
              <w:rPr>
                <w:rFonts w:ascii="宋体" w:hAnsi="宋体"/>
                <w:sz w:val="24"/>
                <w:szCs w:val="24"/>
              </w:rPr>
            </w:pPr>
            <w:r>
              <w:rPr>
                <w:rFonts w:hint="eastAsia" w:ascii="宋体" w:hAnsi="宋体"/>
                <w:sz w:val="24"/>
                <w:szCs w:val="24"/>
              </w:rPr>
              <w:t>交款单位及人员</w:t>
            </w:r>
          </w:p>
        </w:tc>
        <w:tc>
          <w:tcPr>
            <w:tcW w:w="3194" w:type="dxa"/>
            <w:gridSpan w:val="4"/>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spacing w:line="240" w:lineRule="exact"/>
              <w:jc w:val="center"/>
              <w:rPr>
                <w:rFonts w:ascii="宋体" w:hAnsi="宋体"/>
                <w:sz w:val="24"/>
                <w:szCs w:val="24"/>
              </w:rPr>
            </w:pPr>
            <w:r>
              <w:rPr>
                <w:rFonts w:hint="eastAsia" w:ascii="宋体" w:hAnsi="宋体"/>
                <w:sz w:val="24"/>
                <w:szCs w:val="24"/>
              </w:rPr>
              <w:t>服务项目</w:t>
            </w:r>
          </w:p>
        </w:tc>
        <w:tc>
          <w:tcPr>
            <w:tcW w:w="1942" w:type="dxa"/>
            <w:vAlign w:val="center"/>
          </w:tcPr>
          <w:p>
            <w:pPr>
              <w:spacing w:line="240" w:lineRule="exact"/>
              <w:jc w:val="center"/>
              <w:rPr>
                <w:rFonts w:ascii="宋体" w:hAnsi="宋体"/>
                <w:sz w:val="24"/>
                <w:szCs w:val="24"/>
              </w:rPr>
            </w:pPr>
            <w:r>
              <w:rPr>
                <w:rFonts w:hint="eastAsia" w:ascii="宋体" w:hAnsi="宋体"/>
                <w:sz w:val="24"/>
                <w:szCs w:val="24"/>
              </w:rPr>
              <w:t>单位收费标准（元</w:t>
            </w:r>
            <w:r>
              <w:rPr>
                <w:rFonts w:ascii="宋体" w:hAnsi="宋体"/>
                <w:sz w:val="24"/>
                <w:szCs w:val="24"/>
              </w:rPr>
              <w:t>/</w:t>
            </w:r>
            <w:r>
              <w:rPr>
                <w:rFonts w:hint="eastAsia" w:ascii="宋体" w:hAnsi="宋体"/>
                <w:sz w:val="24"/>
                <w:szCs w:val="24"/>
              </w:rPr>
              <w:t>样、机时）</w:t>
            </w:r>
          </w:p>
        </w:tc>
        <w:tc>
          <w:tcPr>
            <w:tcW w:w="1177" w:type="dxa"/>
            <w:gridSpan w:val="2"/>
            <w:vAlign w:val="center"/>
          </w:tcPr>
          <w:p>
            <w:pPr>
              <w:spacing w:line="240" w:lineRule="exact"/>
              <w:jc w:val="center"/>
              <w:rPr>
                <w:rFonts w:ascii="宋体" w:hAnsi="宋体"/>
                <w:sz w:val="24"/>
                <w:szCs w:val="24"/>
              </w:rPr>
            </w:pPr>
            <w:r>
              <w:rPr>
                <w:rFonts w:hint="eastAsia" w:ascii="宋体" w:hAnsi="宋体"/>
                <w:sz w:val="24"/>
                <w:szCs w:val="24"/>
              </w:rPr>
              <w:t>服务机时（样）数</w:t>
            </w:r>
          </w:p>
        </w:tc>
        <w:tc>
          <w:tcPr>
            <w:tcW w:w="1559" w:type="dxa"/>
            <w:gridSpan w:val="2"/>
            <w:vAlign w:val="center"/>
          </w:tcPr>
          <w:p>
            <w:pPr>
              <w:spacing w:line="240" w:lineRule="exact"/>
              <w:jc w:val="center"/>
              <w:rPr>
                <w:rFonts w:ascii="宋体" w:hAnsi="宋体"/>
                <w:sz w:val="24"/>
                <w:szCs w:val="24"/>
              </w:rPr>
            </w:pPr>
            <w:r>
              <w:rPr>
                <w:rFonts w:hint="eastAsia" w:ascii="宋体" w:hAnsi="宋体"/>
                <w:sz w:val="24"/>
                <w:szCs w:val="24"/>
              </w:rPr>
              <w:t>应交款（元）</w:t>
            </w:r>
          </w:p>
        </w:tc>
        <w:tc>
          <w:tcPr>
            <w:tcW w:w="1701" w:type="dxa"/>
            <w:gridSpan w:val="2"/>
            <w:vAlign w:val="center"/>
          </w:tcPr>
          <w:p>
            <w:pPr>
              <w:spacing w:line="240" w:lineRule="exact"/>
              <w:jc w:val="center"/>
              <w:rPr>
                <w:rFonts w:ascii="宋体" w:hAnsi="宋体"/>
                <w:sz w:val="24"/>
                <w:szCs w:val="24"/>
              </w:rPr>
            </w:pPr>
            <w:r>
              <w:rPr>
                <w:rFonts w:hint="eastAsia" w:ascii="宋体" w:hAnsi="宋体"/>
                <w:sz w:val="24"/>
                <w:szCs w:val="24"/>
              </w:rPr>
              <w:t>实交款（元）</w:t>
            </w:r>
          </w:p>
        </w:tc>
        <w:tc>
          <w:tcPr>
            <w:tcW w:w="1493" w:type="dxa"/>
            <w:gridSpan w:val="2"/>
            <w:vAlign w:val="center"/>
          </w:tcPr>
          <w:p>
            <w:pPr>
              <w:spacing w:line="240" w:lineRule="exact"/>
              <w:jc w:val="center"/>
              <w:rPr>
                <w:rFonts w:ascii="宋体" w:hAnsi="宋体"/>
                <w:sz w:val="24"/>
                <w:szCs w:val="24"/>
              </w:rPr>
            </w:pPr>
            <w:r>
              <w:rPr>
                <w:rFonts w:hint="eastAsia" w:ascii="宋体" w:hAnsi="宋体"/>
                <w:sz w:val="24"/>
                <w:szCs w:val="24"/>
              </w:rPr>
              <w:t>项目经费代码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35" w:type="dxa"/>
            <w:vAlign w:val="center"/>
          </w:tcPr>
          <w:p>
            <w:pPr>
              <w:spacing w:line="240" w:lineRule="exact"/>
              <w:jc w:val="center"/>
              <w:rPr>
                <w:rFonts w:ascii="宋体" w:hAnsi="宋体"/>
                <w:sz w:val="24"/>
                <w:szCs w:val="24"/>
              </w:rPr>
            </w:pPr>
          </w:p>
        </w:tc>
        <w:tc>
          <w:tcPr>
            <w:tcW w:w="1942" w:type="dxa"/>
            <w:vAlign w:val="center"/>
          </w:tcPr>
          <w:p>
            <w:pPr>
              <w:spacing w:line="240" w:lineRule="exact"/>
              <w:jc w:val="center"/>
              <w:rPr>
                <w:rFonts w:ascii="宋体" w:hAnsi="宋体"/>
                <w:sz w:val="24"/>
                <w:szCs w:val="24"/>
              </w:rPr>
            </w:pPr>
          </w:p>
        </w:tc>
        <w:tc>
          <w:tcPr>
            <w:tcW w:w="1177" w:type="dxa"/>
            <w:gridSpan w:val="2"/>
            <w:vAlign w:val="center"/>
          </w:tcPr>
          <w:p>
            <w:pPr>
              <w:spacing w:line="240" w:lineRule="exact"/>
              <w:jc w:val="center"/>
              <w:rPr>
                <w:rFonts w:ascii="宋体" w:hAnsi="宋体"/>
                <w:sz w:val="24"/>
                <w:szCs w:val="24"/>
              </w:rPr>
            </w:pPr>
          </w:p>
        </w:tc>
        <w:tc>
          <w:tcPr>
            <w:tcW w:w="1559" w:type="dxa"/>
            <w:gridSpan w:val="2"/>
            <w:vAlign w:val="center"/>
          </w:tcPr>
          <w:p>
            <w:pPr>
              <w:spacing w:line="240" w:lineRule="exact"/>
              <w:jc w:val="center"/>
              <w:rPr>
                <w:rFonts w:ascii="宋体" w:hAnsi="宋体"/>
                <w:sz w:val="24"/>
                <w:szCs w:val="24"/>
              </w:rPr>
            </w:pPr>
          </w:p>
        </w:tc>
        <w:tc>
          <w:tcPr>
            <w:tcW w:w="1701" w:type="dxa"/>
            <w:gridSpan w:val="2"/>
            <w:vAlign w:val="center"/>
          </w:tcPr>
          <w:p>
            <w:pPr>
              <w:spacing w:line="240" w:lineRule="exact"/>
              <w:jc w:val="center"/>
              <w:rPr>
                <w:rFonts w:ascii="宋体" w:hAnsi="宋体"/>
                <w:sz w:val="24"/>
                <w:szCs w:val="24"/>
              </w:rPr>
            </w:pPr>
          </w:p>
        </w:tc>
        <w:tc>
          <w:tcPr>
            <w:tcW w:w="1493" w:type="dxa"/>
            <w:gridSpan w:val="2"/>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5" w:type="dxa"/>
            <w:vAlign w:val="center"/>
          </w:tcPr>
          <w:p>
            <w:pPr>
              <w:spacing w:line="240" w:lineRule="exact"/>
              <w:jc w:val="center"/>
              <w:rPr>
                <w:rFonts w:ascii="宋体" w:hAnsi="宋体"/>
                <w:sz w:val="24"/>
                <w:szCs w:val="24"/>
              </w:rPr>
            </w:pPr>
          </w:p>
        </w:tc>
        <w:tc>
          <w:tcPr>
            <w:tcW w:w="1942" w:type="dxa"/>
            <w:vAlign w:val="center"/>
          </w:tcPr>
          <w:p>
            <w:pPr>
              <w:spacing w:line="240" w:lineRule="exact"/>
              <w:jc w:val="center"/>
              <w:rPr>
                <w:rFonts w:ascii="宋体" w:hAnsi="宋体"/>
                <w:sz w:val="24"/>
                <w:szCs w:val="24"/>
              </w:rPr>
            </w:pPr>
          </w:p>
        </w:tc>
        <w:tc>
          <w:tcPr>
            <w:tcW w:w="1177" w:type="dxa"/>
            <w:gridSpan w:val="2"/>
            <w:vAlign w:val="center"/>
          </w:tcPr>
          <w:p>
            <w:pPr>
              <w:spacing w:line="240" w:lineRule="exact"/>
              <w:jc w:val="center"/>
              <w:rPr>
                <w:rFonts w:ascii="宋体" w:hAnsi="宋体"/>
                <w:sz w:val="24"/>
                <w:szCs w:val="24"/>
              </w:rPr>
            </w:pPr>
          </w:p>
        </w:tc>
        <w:tc>
          <w:tcPr>
            <w:tcW w:w="1559" w:type="dxa"/>
            <w:gridSpan w:val="2"/>
            <w:vAlign w:val="center"/>
          </w:tcPr>
          <w:p>
            <w:pPr>
              <w:spacing w:line="240" w:lineRule="exact"/>
              <w:jc w:val="center"/>
              <w:rPr>
                <w:rFonts w:ascii="宋体" w:hAnsi="宋体"/>
                <w:sz w:val="24"/>
                <w:szCs w:val="24"/>
              </w:rPr>
            </w:pPr>
          </w:p>
        </w:tc>
        <w:tc>
          <w:tcPr>
            <w:tcW w:w="1701" w:type="dxa"/>
            <w:gridSpan w:val="2"/>
            <w:vAlign w:val="center"/>
          </w:tcPr>
          <w:p>
            <w:pPr>
              <w:spacing w:line="240" w:lineRule="exact"/>
              <w:jc w:val="center"/>
              <w:rPr>
                <w:rFonts w:ascii="宋体" w:hAnsi="宋体"/>
                <w:sz w:val="24"/>
                <w:szCs w:val="24"/>
              </w:rPr>
            </w:pPr>
          </w:p>
        </w:tc>
        <w:tc>
          <w:tcPr>
            <w:tcW w:w="1493" w:type="dxa"/>
            <w:gridSpan w:val="2"/>
            <w:vAlign w:val="center"/>
          </w:tcPr>
          <w:p>
            <w:pPr>
              <w:spacing w:line="240" w:lineRule="exact"/>
              <w:jc w:val="center"/>
              <w:rPr>
                <w:rFonts w:ascii="宋体" w:hAnsi="宋体"/>
                <w:sz w:val="24"/>
                <w:szCs w:val="24"/>
              </w:rPr>
            </w:pPr>
          </w:p>
        </w:tc>
      </w:tr>
    </w:tbl>
    <w:p>
      <w:pPr>
        <w:spacing w:line="240" w:lineRule="exact"/>
        <w:ind w:left="-958" w:leftChars="-342" w:firstLine="240" w:firstLineChars="100"/>
        <w:rPr>
          <w:rFonts w:ascii="宋体" w:hAnsi="宋体"/>
          <w:sz w:val="24"/>
          <w:szCs w:val="24"/>
        </w:rPr>
      </w:pPr>
      <w:r>
        <w:rPr>
          <w:rFonts w:hint="eastAsia" w:ascii="宋体" w:hAnsi="宋体"/>
          <w:sz w:val="24"/>
          <w:szCs w:val="24"/>
        </w:rPr>
        <w:t>（第二联：财务入账凭据）</w:t>
      </w:r>
    </w:p>
    <w:p>
      <w:pPr>
        <w:spacing w:line="240" w:lineRule="exact"/>
        <w:rPr>
          <w:rFonts w:ascii="宋体" w:hAnsi="宋体"/>
          <w:b/>
          <w:color w:val="000000"/>
          <w:sz w:val="24"/>
          <w:szCs w:val="24"/>
        </w:rPr>
      </w:pPr>
    </w:p>
    <w:p>
      <w:pPr>
        <w:spacing w:line="240" w:lineRule="exact"/>
        <w:jc w:val="center"/>
        <w:rPr>
          <w:rFonts w:ascii="宋体" w:hAnsi="宋体"/>
          <w:b/>
          <w:color w:val="000000"/>
          <w:sz w:val="24"/>
          <w:szCs w:val="24"/>
        </w:rPr>
      </w:pPr>
      <w:r>
        <w:rPr>
          <w:rFonts w:hint="eastAsia" w:ascii="宋体" w:hAnsi="宋体"/>
          <w:b/>
          <w:color w:val="000000"/>
          <w:sz w:val="24"/>
          <w:szCs w:val="24"/>
        </w:rPr>
        <w:t>---------------------------------------------</w:t>
      </w:r>
    </w:p>
    <w:p>
      <w:pPr>
        <w:adjustRightInd w:val="0"/>
        <w:spacing w:line="400" w:lineRule="exact"/>
        <w:contextualSpacing/>
        <w:jc w:val="center"/>
        <w:rPr>
          <w:rFonts w:ascii="宋体" w:hAnsi="宋体" w:cs="方正小标宋简体"/>
          <w:bCs/>
          <w:color w:val="000000"/>
          <w:sz w:val="24"/>
          <w:szCs w:val="24"/>
        </w:rPr>
      </w:pPr>
      <w:r>
        <w:rPr>
          <w:rFonts w:hint="eastAsia" w:ascii="宋体" w:hAnsi="宋体" w:cs="方正小标宋简体"/>
          <w:bCs/>
          <w:color w:val="000000"/>
          <w:sz w:val="24"/>
          <w:szCs w:val="24"/>
        </w:rPr>
        <w:t>衢州学院仪器设备开放服务缴款通知单</w:t>
      </w:r>
    </w:p>
    <w:p>
      <w:pPr>
        <w:adjustRightInd w:val="0"/>
        <w:spacing w:line="160" w:lineRule="exact"/>
        <w:contextualSpacing/>
        <w:jc w:val="center"/>
        <w:rPr>
          <w:rFonts w:ascii="宋体" w:hAnsi="宋体" w:cs="方正小标宋简体"/>
          <w:bCs/>
          <w:color w:val="000000"/>
          <w:sz w:val="24"/>
          <w:szCs w:val="24"/>
        </w:rPr>
      </w:pPr>
    </w:p>
    <w:p>
      <w:pPr>
        <w:adjustRightInd w:val="0"/>
        <w:spacing w:line="400" w:lineRule="exact"/>
        <w:contextualSpacing/>
        <w:jc w:val="left"/>
        <w:rPr>
          <w:rFonts w:ascii="宋体" w:hAnsi="宋体"/>
          <w:b/>
          <w:sz w:val="24"/>
          <w:szCs w:val="24"/>
        </w:rPr>
      </w:pPr>
      <w:r>
        <w:rPr>
          <w:rFonts w:hint="eastAsia" w:ascii="宋体" w:hAnsi="宋体"/>
          <w:sz w:val="24"/>
          <w:szCs w:val="24"/>
        </w:rPr>
        <w:t>所属学院（中心）及实验室：                                  使用日期：</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942"/>
        <w:gridCol w:w="567"/>
        <w:gridCol w:w="610"/>
        <w:gridCol w:w="612"/>
        <w:gridCol w:w="947"/>
        <w:gridCol w:w="433"/>
        <w:gridCol w:w="1268"/>
        <w:gridCol w:w="11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835" w:type="dxa"/>
            <w:vAlign w:val="center"/>
          </w:tcPr>
          <w:p>
            <w:pPr>
              <w:spacing w:before="198" w:beforeLines="50" w:after="198" w:afterLines="50" w:line="240" w:lineRule="exact"/>
              <w:jc w:val="center"/>
              <w:rPr>
                <w:rFonts w:ascii="宋体" w:hAnsi="宋体"/>
                <w:sz w:val="24"/>
                <w:szCs w:val="24"/>
              </w:rPr>
            </w:pPr>
            <w:r>
              <w:rPr>
                <w:rFonts w:hint="eastAsia" w:ascii="宋体" w:hAnsi="宋体"/>
                <w:sz w:val="24"/>
                <w:szCs w:val="24"/>
              </w:rPr>
              <w:t>仪器名称</w:t>
            </w:r>
          </w:p>
        </w:tc>
        <w:tc>
          <w:tcPr>
            <w:tcW w:w="2509" w:type="dxa"/>
            <w:gridSpan w:val="2"/>
          </w:tcPr>
          <w:p>
            <w:pPr>
              <w:spacing w:before="198" w:beforeLines="50" w:after="198" w:afterLines="50" w:line="240" w:lineRule="exact"/>
              <w:rPr>
                <w:rFonts w:ascii="宋体" w:hAnsi="宋体"/>
                <w:sz w:val="24"/>
                <w:szCs w:val="24"/>
              </w:rPr>
            </w:pPr>
          </w:p>
        </w:tc>
        <w:tc>
          <w:tcPr>
            <w:tcW w:w="1222" w:type="dxa"/>
            <w:gridSpan w:val="2"/>
          </w:tcPr>
          <w:p>
            <w:pPr>
              <w:spacing w:before="198" w:beforeLines="50" w:after="198" w:afterLines="50" w:line="240" w:lineRule="exact"/>
              <w:rPr>
                <w:rFonts w:ascii="宋体" w:hAnsi="宋体"/>
                <w:sz w:val="24"/>
                <w:szCs w:val="24"/>
              </w:rPr>
            </w:pPr>
            <w:r>
              <w:rPr>
                <w:rFonts w:hint="eastAsia" w:ascii="宋体" w:hAnsi="宋体"/>
                <w:sz w:val="24"/>
                <w:szCs w:val="24"/>
              </w:rPr>
              <w:t>仪器编号</w:t>
            </w:r>
          </w:p>
        </w:tc>
        <w:tc>
          <w:tcPr>
            <w:tcW w:w="1380" w:type="dxa"/>
            <w:gridSpan w:val="2"/>
          </w:tcPr>
          <w:p>
            <w:pPr>
              <w:spacing w:before="198" w:beforeLines="50" w:after="198" w:afterLines="50" w:line="240" w:lineRule="exact"/>
              <w:rPr>
                <w:rFonts w:ascii="宋体" w:hAnsi="宋体"/>
                <w:sz w:val="24"/>
                <w:szCs w:val="24"/>
              </w:rPr>
            </w:pPr>
          </w:p>
        </w:tc>
        <w:tc>
          <w:tcPr>
            <w:tcW w:w="1380" w:type="dxa"/>
            <w:gridSpan w:val="2"/>
          </w:tcPr>
          <w:p>
            <w:pPr>
              <w:spacing w:before="198" w:beforeLines="50" w:after="198" w:afterLines="50" w:line="240" w:lineRule="exact"/>
              <w:jc w:val="center"/>
              <w:rPr>
                <w:rFonts w:ascii="宋体" w:hAnsi="宋体"/>
                <w:sz w:val="24"/>
                <w:szCs w:val="24"/>
              </w:rPr>
            </w:pPr>
            <w:r>
              <w:rPr>
                <w:rFonts w:hint="eastAsia" w:ascii="宋体" w:hAnsi="宋体"/>
                <w:sz w:val="24"/>
                <w:szCs w:val="24"/>
              </w:rPr>
              <w:t>负责人</w:t>
            </w:r>
          </w:p>
        </w:tc>
        <w:tc>
          <w:tcPr>
            <w:tcW w:w="1381" w:type="dxa"/>
          </w:tcPr>
          <w:p>
            <w:pPr>
              <w:spacing w:before="198" w:beforeLines="50" w:after="198" w:afterLines="50" w:line="2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35" w:type="dxa"/>
            <w:vAlign w:val="center"/>
          </w:tcPr>
          <w:p>
            <w:pPr>
              <w:spacing w:line="240" w:lineRule="exact"/>
              <w:jc w:val="center"/>
              <w:rPr>
                <w:rFonts w:ascii="宋体" w:hAnsi="宋体"/>
                <w:sz w:val="24"/>
                <w:szCs w:val="24"/>
              </w:rPr>
            </w:pPr>
            <w:r>
              <w:rPr>
                <w:rFonts w:hint="eastAsia" w:ascii="宋体" w:hAnsi="宋体"/>
                <w:sz w:val="24"/>
                <w:szCs w:val="24"/>
              </w:rPr>
              <w:t>服务对象</w:t>
            </w:r>
          </w:p>
        </w:tc>
        <w:tc>
          <w:tcPr>
            <w:tcW w:w="2509" w:type="dxa"/>
            <w:gridSpan w:val="2"/>
            <w:vAlign w:val="center"/>
          </w:tcPr>
          <w:p>
            <w:pPr>
              <w:spacing w:line="240" w:lineRule="exact"/>
              <w:jc w:val="center"/>
              <w:rPr>
                <w:rFonts w:ascii="宋体" w:hAnsi="宋体"/>
                <w:sz w:val="24"/>
                <w:szCs w:val="24"/>
              </w:rPr>
            </w:pPr>
            <w:r>
              <w:rPr>
                <w:rFonts w:hint="eastAsia" w:ascii="宋体" w:hAnsi="宋体"/>
                <w:sz w:val="24"/>
                <w:szCs w:val="24"/>
              </w:rPr>
              <w:t>校内</w:t>
            </w:r>
            <w:r>
              <w:rPr>
                <w:rFonts w:hint="eastAsia" w:ascii="宋体" w:hAnsi="宋体"/>
                <w:kern w:val="0"/>
                <w:sz w:val="24"/>
                <w:szCs w:val="24"/>
              </w:rPr>
              <w:t>□</w:t>
            </w:r>
            <w:r>
              <w:rPr>
                <w:rFonts w:hint="eastAsia" w:ascii="宋体" w:hAnsi="宋体"/>
                <w:sz w:val="24"/>
                <w:szCs w:val="24"/>
              </w:rPr>
              <w:t xml:space="preserve">   校外</w:t>
            </w:r>
            <w:r>
              <w:rPr>
                <w:rFonts w:hint="eastAsia" w:ascii="宋体" w:hAnsi="宋体"/>
                <w:kern w:val="0"/>
                <w:sz w:val="24"/>
                <w:szCs w:val="24"/>
              </w:rPr>
              <w:t>□</w:t>
            </w:r>
          </w:p>
        </w:tc>
        <w:tc>
          <w:tcPr>
            <w:tcW w:w="2169" w:type="dxa"/>
            <w:gridSpan w:val="3"/>
            <w:vAlign w:val="center"/>
          </w:tcPr>
          <w:p>
            <w:pPr>
              <w:spacing w:line="240" w:lineRule="exact"/>
              <w:jc w:val="center"/>
              <w:rPr>
                <w:rFonts w:ascii="宋体" w:hAnsi="宋体"/>
                <w:sz w:val="24"/>
                <w:szCs w:val="24"/>
              </w:rPr>
            </w:pPr>
            <w:r>
              <w:rPr>
                <w:rFonts w:hint="eastAsia" w:ascii="宋体" w:hAnsi="宋体"/>
                <w:sz w:val="24"/>
                <w:szCs w:val="24"/>
              </w:rPr>
              <w:t>交款单位及人员</w:t>
            </w:r>
          </w:p>
        </w:tc>
        <w:tc>
          <w:tcPr>
            <w:tcW w:w="3194" w:type="dxa"/>
            <w:gridSpan w:val="4"/>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spacing w:line="240" w:lineRule="exact"/>
              <w:jc w:val="center"/>
              <w:rPr>
                <w:rFonts w:ascii="宋体" w:hAnsi="宋体"/>
                <w:sz w:val="24"/>
                <w:szCs w:val="24"/>
              </w:rPr>
            </w:pPr>
            <w:r>
              <w:rPr>
                <w:rFonts w:hint="eastAsia" w:ascii="宋体" w:hAnsi="宋体"/>
                <w:sz w:val="24"/>
                <w:szCs w:val="24"/>
              </w:rPr>
              <w:t>服务项目</w:t>
            </w:r>
          </w:p>
        </w:tc>
        <w:tc>
          <w:tcPr>
            <w:tcW w:w="1942" w:type="dxa"/>
            <w:vAlign w:val="center"/>
          </w:tcPr>
          <w:p>
            <w:pPr>
              <w:spacing w:line="240" w:lineRule="exact"/>
              <w:jc w:val="center"/>
              <w:rPr>
                <w:rFonts w:ascii="宋体" w:hAnsi="宋体"/>
                <w:sz w:val="24"/>
                <w:szCs w:val="24"/>
              </w:rPr>
            </w:pPr>
            <w:r>
              <w:rPr>
                <w:rFonts w:hint="eastAsia" w:ascii="宋体" w:hAnsi="宋体"/>
                <w:sz w:val="24"/>
                <w:szCs w:val="24"/>
              </w:rPr>
              <w:t>单位收费标准（元</w:t>
            </w:r>
            <w:r>
              <w:rPr>
                <w:rFonts w:ascii="宋体" w:hAnsi="宋体"/>
                <w:sz w:val="24"/>
                <w:szCs w:val="24"/>
              </w:rPr>
              <w:t>/</w:t>
            </w:r>
            <w:r>
              <w:rPr>
                <w:rFonts w:hint="eastAsia" w:ascii="宋体" w:hAnsi="宋体"/>
                <w:sz w:val="24"/>
                <w:szCs w:val="24"/>
              </w:rPr>
              <w:t>样、机时）</w:t>
            </w:r>
          </w:p>
        </w:tc>
        <w:tc>
          <w:tcPr>
            <w:tcW w:w="1177" w:type="dxa"/>
            <w:gridSpan w:val="2"/>
            <w:vAlign w:val="center"/>
          </w:tcPr>
          <w:p>
            <w:pPr>
              <w:spacing w:line="240" w:lineRule="exact"/>
              <w:jc w:val="center"/>
              <w:rPr>
                <w:rFonts w:ascii="宋体" w:hAnsi="宋体"/>
                <w:sz w:val="24"/>
                <w:szCs w:val="24"/>
              </w:rPr>
            </w:pPr>
            <w:r>
              <w:rPr>
                <w:rFonts w:hint="eastAsia" w:ascii="宋体" w:hAnsi="宋体"/>
                <w:sz w:val="24"/>
                <w:szCs w:val="24"/>
              </w:rPr>
              <w:t>服务机时（样）数</w:t>
            </w:r>
          </w:p>
        </w:tc>
        <w:tc>
          <w:tcPr>
            <w:tcW w:w="1559" w:type="dxa"/>
            <w:gridSpan w:val="2"/>
            <w:vAlign w:val="center"/>
          </w:tcPr>
          <w:p>
            <w:pPr>
              <w:spacing w:line="240" w:lineRule="exact"/>
              <w:jc w:val="center"/>
              <w:rPr>
                <w:rFonts w:ascii="宋体" w:hAnsi="宋体"/>
                <w:sz w:val="24"/>
                <w:szCs w:val="24"/>
              </w:rPr>
            </w:pPr>
            <w:r>
              <w:rPr>
                <w:rFonts w:hint="eastAsia" w:ascii="宋体" w:hAnsi="宋体"/>
                <w:sz w:val="24"/>
                <w:szCs w:val="24"/>
              </w:rPr>
              <w:t>应交款（元）</w:t>
            </w:r>
          </w:p>
        </w:tc>
        <w:tc>
          <w:tcPr>
            <w:tcW w:w="1701" w:type="dxa"/>
            <w:gridSpan w:val="2"/>
            <w:vAlign w:val="center"/>
          </w:tcPr>
          <w:p>
            <w:pPr>
              <w:spacing w:line="240" w:lineRule="exact"/>
              <w:jc w:val="center"/>
              <w:rPr>
                <w:rFonts w:ascii="宋体" w:hAnsi="宋体"/>
                <w:sz w:val="24"/>
                <w:szCs w:val="24"/>
              </w:rPr>
            </w:pPr>
            <w:r>
              <w:rPr>
                <w:rFonts w:hint="eastAsia" w:ascii="宋体" w:hAnsi="宋体"/>
                <w:sz w:val="24"/>
                <w:szCs w:val="24"/>
              </w:rPr>
              <w:t>实交款（元）</w:t>
            </w:r>
          </w:p>
        </w:tc>
        <w:tc>
          <w:tcPr>
            <w:tcW w:w="1493" w:type="dxa"/>
            <w:gridSpan w:val="2"/>
            <w:vAlign w:val="center"/>
          </w:tcPr>
          <w:p>
            <w:pPr>
              <w:spacing w:line="240" w:lineRule="exact"/>
              <w:jc w:val="center"/>
              <w:rPr>
                <w:rFonts w:ascii="宋体" w:hAnsi="宋体"/>
                <w:sz w:val="24"/>
                <w:szCs w:val="24"/>
              </w:rPr>
            </w:pPr>
            <w:r>
              <w:rPr>
                <w:rFonts w:hint="eastAsia" w:ascii="宋体" w:hAnsi="宋体"/>
                <w:sz w:val="24"/>
                <w:szCs w:val="24"/>
              </w:rPr>
              <w:t>项目经费代码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35" w:type="dxa"/>
            <w:vAlign w:val="center"/>
          </w:tcPr>
          <w:p>
            <w:pPr>
              <w:spacing w:line="240" w:lineRule="exact"/>
              <w:jc w:val="center"/>
              <w:rPr>
                <w:rFonts w:ascii="宋体" w:hAnsi="宋体"/>
                <w:sz w:val="24"/>
                <w:szCs w:val="24"/>
              </w:rPr>
            </w:pPr>
          </w:p>
        </w:tc>
        <w:tc>
          <w:tcPr>
            <w:tcW w:w="1942" w:type="dxa"/>
            <w:vAlign w:val="center"/>
          </w:tcPr>
          <w:p>
            <w:pPr>
              <w:spacing w:line="240" w:lineRule="exact"/>
              <w:jc w:val="center"/>
              <w:rPr>
                <w:rFonts w:ascii="宋体" w:hAnsi="宋体"/>
                <w:sz w:val="24"/>
                <w:szCs w:val="24"/>
              </w:rPr>
            </w:pPr>
          </w:p>
        </w:tc>
        <w:tc>
          <w:tcPr>
            <w:tcW w:w="1177" w:type="dxa"/>
            <w:gridSpan w:val="2"/>
            <w:vAlign w:val="center"/>
          </w:tcPr>
          <w:p>
            <w:pPr>
              <w:spacing w:line="240" w:lineRule="exact"/>
              <w:jc w:val="center"/>
              <w:rPr>
                <w:rFonts w:ascii="宋体" w:hAnsi="宋体"/>
                <w:sz w:val="24"/>
                <w:szCs w:val="24"/>
              </w:rPr>
            </w:pPr>
          </w:p>
        </w:tc>
        <w:tc>
          <w:tcPr>
            <w:tcW w:w="1559" w:type="dxa"/>
            <w:gridSpan w:val="2"/>
            <w:vAlign w:val="center"/>
          </w:tcPr>
          <w:p>
            <w:pPr>
              <w:spacing w:line="240" w:lineRule="exact"/>
              <w:jc w:val="center"/>
              <w:rPr>
                <w:rFonts w:ascii="宋体" w:hAnsi="宋体"/>
                <w:sz w:val="24"/>
                <w:szCs w:val="24"/>
              </w:rPr>
            </w:pPr>
          </w:p>
        </w:tc>
        <w:tc>
          <w:tcPr>
            <w:tcW w:w="1701" w:type="dxa"/>
            <w:gridSpan w:val="2"/>
            <w:vAlign w:val="center"/>
          </w:tcPr>
          <w:p>
            <w:pPr>
              <w:spacing w:line="240" w:lineRule="exact"/>
              <w:jc w:val="center"/>
              <w:rPr>
                <w:rFonts w:ascii="宋体" w:hAnsi="宋体"/>
                <w:sz w:val="24"/>
                <w:szCs w:val="24"/>
              </w:rPr>
            </w:pPr>
          </w:p>
        </w:tc>
        <w:tc>
          <w:tcPr>
            <w:tcW w:w="1493" w:type="dxa"/>
            <w:gridSpan w:val="2"/>
            <w:vAlign w:val="center"/>
          </w:tcPr>
          <w:p>
            <w:pPr>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5" w:type="dxa"/>
            <w:vAlign w:val="center"/>
          </w:tcPr>
          <w:p>
            <w:pPr>
              <w:spacing w:line="240" w:lineRule="exact"/>
              <w:jc w:val="center"/>
              <w:rPr>
                <w:rFonts w:ascii="宋体" w:hAnsi="宋体"/>
                <w:sz w:val="24"/>
                <w:szCs w:val="24"/>
              </w:rPr>
            </w:pPr>
          </w:p>
        </w:tc>
        <w:tc>
          <w:tcPr>
            <w:tcW w:w="1942" w:type="dxa"/>
            <w:vAlign w:val="center"/>
          </w:tcPr>
          <w:p>
            <w:pPr>
              <w:spacing w:line="240" w:lineRule="exact"/>
              <w:jc w:val="center"/>
              <w:rPr>
                <w:rFonts w:ascii="宋体" w:hAnsi="宋体"/>
                <w:sz w:val="24"/>
                <w:szCs w:val="24"/>
              </w:rPr>
            </w:pPr>
          </w:p>
        </w:tc>
        <w:tc>
          <w:tcPr>
            <w:tcW w:w="1177" w:type="dxa"/>
            <w:gridSpan w:val="2"/>
            <w:vAlign w:val="center"/>
          </w:tcPr>
          <w:p>
            <w:pPr>
              <w:spacing w:line="240" w:lineRule="exact"/>
              <w:jc w:val="center"/>
              <w:rPr>
                <w:rFonts w:ascii="宋体" w:hAnsi="宋体"/>
                <w:sz w:val="24"/>
                <w:szCs w:val="24"/>
              </w:rPr>
            </w:pPr>
          </w:p>
        </w:tc>
        <w:tc>
          <w:tcPr>
            <w:tcW w:w="1559" w:type="dxa"/>
            <w:gridSpan w:val="2"/>
            <w:vAlign w:val="center"/>
          </w:tcPr>
          <w:p>
            <w:pPr>
              <w:spacing w:line="240" w:lineRule="exact"/>
              <w:jc w:val="center"/>
              <w:rPr>
                <w:rFonts w:ascii="宋体" w:hAnsi="宋体"/>
                <w:sz w:val="24"/>
                <w:szCs w:val="24"/>
              </w:rPr>
            </w:pPr>
          </w:p>
        </w:tc>
        <w:tc>
          <w:tcPr>
            <w:tcW w:w="1701" w:type="dxa"/>
            <w:gridSpan w:val="2"/>
            <w:vAlign w:val="center"/>
          </w:tcPr>
          <w:p>
            <w:pPr>
              <w:spacing w:line="240" w:lineRule="exact"/>
              <w:jc w:val="center"/>
              <w:rPr>
                <w:rFonts w:ascii="宋体" w:hAnsi="宋体"/>
                <w:sz w:val="24"/>
                <w:szCs w:val="24"/>
              </w:rPr>
            </w:pPr>
          </w:p>
        </w:tc>
        <w:tc>
          <w:tcPr>
            <w:tcW w:w="1493" w:type="dxa"/>
            <w:gridSpan w:val="2"/>
            <w:vAlign w:val="center"/>
          </w:tcPr>
          <w:p>
            <w:pPr>
              <w:spacing w:line="240" w:lineRule="exact"/>
              <w:jc w:val="center"/>
              <w:rPr>
                <w:rFonts w:ascii="宋体" w:hAnsi="宋体"/>
                <w:sz w:val="24"/>
                <w:szCs w:val="24"/>
              </w:rPr>
            </w:pPr>
          </w:p>
        </w:tc>
      </w:tr>
    </w:tbl>
    <w:p>
      <w:pPr>
        <w:spacing w:line="240" w:lineRule="exact"/>
        <w:ind w:left="-958" w:leftChars="-342" w:firstLine="240" w:firstLineChars="100"/>
        <w:rPr>
          <w:rFonts w:ascii="宋体" w:hAnsi="宋体"/>
          <w:sz w:val="24"/>
          <w:szCs w:val="24"/>
        </w:rPr>
      </w:pPr>
      <w:r>
        <w:rPr>
          <w:rFonts w:hint="eastAsia" w:ascii="宋体" w:hAnsi="宋体"/>
          <w:sz w:val="24"/>
          <w:szCs w:val="24"/>
        </w:rPr>
        <w:t>（第三联：服务对象留存）</w:t>
      </w:r>
    </w:p>
    <w:p>
      <w:pPr>
        <w:pStyle w:val="2"/>
        <w:rPr>
          <w:rFonts w:hint="eastAsia"/>
          <w:sz w:val="40"/>
        </w:rPr>
      </w:pPr>
      <w:r>
        <w:rPr>
          <w:rFonts w:ascii="宋体" w:hAnsi="宋体"/>
          <w:sz w:val="24"/>
          <w:szCs w:val="24"/>
        </w:rPr>
        <w:br w:type="page"/>
      </w:r>
      <w:bookmarkStart w:id="136" w:name="_Toc46402451"/>
      <w:r>
        <w:rPr>
          <w:rFonts w:hint="eastAsia"/>
          <w:sz w:val="40"/>
        </w:rPr>
        <w:t>衢州学院大型仪器设备使用绩效考核办法（修订）</w:t>
      </w:r>
      <w:bookmarkEnd w:id="136"/>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第一章 总  则</w:t>
      </w:r>
    </w:p>
    <w:p>
      <w:pPr>
        <w:widowControl/>
        <w:spacing w:line="360" w:lineRule="auto"/>
        <w:ind w:firstLine="660" w:firstLineChars="275"/>
        <w:jc w:val="left"/>
        <w:rPr>
          <w:rFonts w:hint="eastAsia" w:ascii="宋体" w:hAnsi="宋体" w:cs="仿宋_GB2312"/>
          <w:sz w:val="24"/>
          <w:szCs w:val="24"/>
        </w:rPr>
      </w:pPr>
      <w:r>
        <w:rPr>
          <w:rFonts w:hint="eastAsia" w:ascii="宋体" w:hAnsi="宋体" w:cs="仿宋_GB2312"/>
          <w:sz w:val="24"/>
          <w:szCs w:val="24"/>
        </w:rPr>
        <w:t>第一条 为进一步加强大型仪器设备管理，优化实验室资源配置，提升大型仪器设备使用效率，促进大型仪器设备开放共享服务，根据《高等学校仪器设备管理办法》（教高〔2000〕9号）、教育部办公厅《关于加强高等学校科研基地设施和科研仪器开放共享的指导意见》（教技厅〔2015〕4号）精神，结合学校实际，特制订本办法。</w:t>
      </w:r>
    </w:p>
    <w:p>
      <w:pPr>
        <w:widowControl/>
        <w:spacing w:line="360" w:lineRule="auto"/>
        <w:ind w:firstLine="600" w:firstLineChars="250"/>
        <w:jc w:val="left"/>
        <w:rPr>
          <w:rFonts w:hint="eastAsia" w:ascii="宋体" w:hAnsi="宋体" w:cs="仿宋_GB2312"/>
          <w:sz w:val="24"/>
          <w:szCs w:val="24"/>
        </w:rPr>
      </w:pPr>
      <w:r>
        <w:rPr>
          <w:rFonts w:hint="eastAsia" w:ascii="宋体" w:hAnsi="宋体" w:cs="仿宋_GB2312"/>
          <w:sz w:val="24"/>
          <w:szCs w:val="24"/>
        </w:rPr>
        <w:t>第二条 本办法列入考核范围的大型仪器设备，主要是指单台（套）价值在10万元及以上且购置时间满1年以上的，使用方向为教学科研的仪器设备。</w:t>
      </w:r>
    </w:p>
    <w:p>
      <w:pPr>
        <w:widowControl/>
        <w:spacing w:line="360" w:lineRule="auto"/>
        <w:ind w:firstLine="600" w:firstLineChars="250"/>
        <w:jc w:val="left"/>
        <w:rPr>
          <w:rFonts w:hint="eastAsia" w:ascii="宋体" w:hAnsi="宋体" w:cs="仿宋_GB2312"/>
          <w:sz w:val="24"/>
          <w:szCs w:val="24"/>
        </w:rPr>
      </w:pPr>
      <w:r>
        <w:rPr>
          <w:rFonts w:hint="eastAsia" w:ascii="宋体" w:hAnsi="宋体" w:cs="仿宋_GB2312"/>
          <w:sz w:val="24"/>
          <w:szCs w:val="24"/>
        </w:rPr>
        <w:t>第三条 本办法考核对象为拥有大型仪器设备的各学院（中心），按自然年度考核。</w:t>
      </w:r>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第二章  考核原则</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第四条 分类考核原则。根据大型仪器设备工作内容和面向服务范围的不同，将学校大型仪器设备为公共教学类、专业教学类、科学研究类等类别进行分类考核。</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第五条 动态监测原则。建立完善能客观反映大型仪器设备运行机时数的常态监测平台，实施年度额定运行机时数考核指标逐年递增的动态机制，以及常规专项检查与年终考核相结合的绩效考核机制。</w:t>
      </w:r>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第三章  考核组织</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第六条 部门层面。各学院（中心）成立大型仪器设备使用绩效考核工作组，负责其归属大型仪器设备的使用绩效自评工作。考核工作组一般由5人组成，分管副院长任组长，实验室主任和有关专任教师任成员。</w:t>
      </w:r>
    </w:p>
    <w:p>
      <w:pPr>
        <w:widowControl/>
        <w:spacing w:line="360" w:lineRule="auto"/>
        <w:ind w:firstLine="600" w:firstLineChars="250"/>
        <w:jc w:val="left"/>
        <w:rPr>
          <w:rFonts w:hint="eastAsia" w:ascii="宋体" w:hAnsi="宋体"/>
          <w:sz w:val="24"/>
          <w:szCs w:val="24"/>
        </w:rPr>
      </w:pPr>
      <w:r>
        <w:rPr>
          <w:rFonts w:hint="eastAsia" w:ascii="宋体" w:hAnsi="宋体"/>
          <w:sz w:val="24"/>
          <w:szCs w:val="24"/>
        </w:rPr>
        <w:t>第七条 学校层面。由分管副校长领导，实验室与资产管理处组织考核专家组具体实施。考核小组由5人以上成员组成，设组长1名，成员由校实验室工作委员会成员、教务处、科研处、实验室与资产管理处和有关专家组成。</w:t>
      </w:r>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第四章  考核办法</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第八条 大型仪器设备使用绩效考核采用分类记分制，满分为100分。其中：</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1.公共教学类包括：大型仪器设备运行与管理（75分）、大学生创新活动和成果（15分）、设备开放服务（10分）等三大部分（附件1）。</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2.专业教学类包括：大型仪器设备运行与管理（75分）、大学生创新活动和成果（10分）、设备开放服务（15分）等三大部分（附件2）。</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3.科学研究类包括：大型仪器设备运行与管理（70分）、研究与技术成果（15分）、设备开放服务（15分）等三大部分（附件3）。</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第九条 学院（中心）所属各类大型仪器设备使用绩效考核得分按照加权平均计算后形成。</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第十条 同一成果只能列入一类大型仪器设备计算得分，不能重复计算；各类成果只按第一作者或集体所属学院（中心）统计。</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第十一条 实验室与资产管理处将根据学校大型仪器设备使用的实际情况，适时修订并公布实施各类大型仪器设备使用绩效考核记分表中各项指标及评价标准。</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第十二条 实验室与资产管理处在上半年核定并公布列入各学院（中心）本年度使用绩效考核大型仪器设备的名称、类别与台（套）数，核定各学院（中心）本年度仪器设备开放服务收费总量。</w:t>
      </w:r>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第五章  考核程序</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第十三条 部门自评。各学院（中心）根据本办法对所属大型仪器设备使用绩效进行自评，各学院（中心）应认真准备佐证材料并撰写自评报告。自评报告（书面材料和电子文档各一份）在规定时间内报实验室与资产管理处。佐证材料由学院（中心）所属的实验教学中心保存，并作为学校大型仪器设备使用绩效考核的依据。</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第十四条 学校考核。考核小组通过现场听取汇报、询问，查阅相关佐证材料、核查数据，并按照大型仪器设备使用绩效考核记分表进行打分。</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第十五条 考核结果确定。根据大型仪器设备使用绩效考核得分情况确定学院（中心）考核结果。考核结果分为优秀（90分及以上）、合格（70-90分）和不合格（70分以下）三个等级，考核结果报学校实验室工作委员会通过后予以公布。</w:t>
      </w:r>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第六章  考核应用</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第十六条 大型仪器设备使用绩效当年考核结果作为下一年度学院（中心）实验室建设投入的重要依据：</w:t>
      </w:r>
    </w:p>
    <w:p>
      <w:pPr>
        <w:widowControl/>
        <w:spacing w:line="360" w:lineRule="auto"/>
        <w:ind w:firstLine="360" w:firstLineChars="150"/>
        <w:jc w:val="left"/>
        <w:rPr>
          <w:rFonts w:hint="eastAsia" w:ascii="宋体" w:hAnsi="宋体"/>
          <w:sz w:val="24"/>
          <w:szCs w:val="24"/>
        </w:rPr>
      </w:pPr>
      <w:r>
        <w:rPr>
          <w:rFonts w:hint="eastAsia" w:ascii="宋体" w:hAnsi="宋体"/>
          <w:sz w:val="24"/>
          <w:szCs w:val="24"/>
        </w:rPr>
        <w:t>1.对考核结果优秀的学院（中心），在下一年度实验室建设中给予重点投入。</w:t>
      </w:r>
    </w:p>
    <w:p>
      <w:pPr>
        <w:widowControl/>
        <w:spacing w:line="360" w:lineRule="auto"/>
        <w:ind w:firstLine="360"/>
        <w:jc w:val="left"/>
        <w:rPr>
          <w:rFonts w:hint="eastAsia" w:ascii="宋体" w:hAnsi="宋体"/>
          <w:sz w:val="24"/>
          <w:szCs w:val="24"/>
        </w:rPr>
      </w:pPr>
      <w:r>
        <w:rPr>
          <w:rFonts w:hint="eastAsia" w:ascii="宋体" w:hAnsi="宋体"/>
          <w:sz w:val="24"/>
          <w:szCs w:val="24"/>
        </w:rPr>
        <w:t>2.对考核结果不合格的学院（中心），在下一年度实验室建设中减少甚至停止投入，并要求限期整改。</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第十七条 大型仪器设备使用绩效当年考核结果，依据部门列入考核大型仪器设备的台（套）数，按以下办法纳入学院（中心）下一年度奖励性绩效工资考核：</w:t>
      </w:r>
    </w:p>
    <w:p>
      <w:pPr>
        <w:widowControl/>
        <w:spacing w:line="360" w:lineRule="auto"/>
        <w:ind w:firstLine="420"/>
        <w:jc w:val="left"/>
        <w:rPr>
          <w:rFonts w:hint="eastAsia" w:ascii="宋体" w:hAnsi="宋体"/>
          <w:sz w:val="24"/>
          <w:szCs w:val="24"/>
        </w:rPr>
      </w:pPr>
      <w:r>
        <w:rPr>
          <w:rFonts w:hint="eastAsia" w:ascii="宋体" w:hAnsi="宋体"/>
          <w:sz w:val="24"/>
          <w:szCs w:val="24"/>
        </w:rPr>
        <w:t>1.考核结果为优秀，同时完成学校核定仪器设备开放服务收费总量的部门，按每台（套）不超过1000元核增奖励性绩效工资指标；考核结果不合格的按1000元/台（套）的标准核减奖励性绩效工资指标。</w:t>
      </w:r>
    </w:p>
    <w:p>
      <w:pPr>
        <w:widowControl/>
        <w:spacing w:line="360" w:lineRule="auto"/>
        <w:ind w:firstLine="420"/>
        <w:jc w:val="left"/>
        <w:rPr>
          <w:rFonts w:hint="eastAsia" w:ascii="宋体" w:hAnsi="宋体"/>
          <w:sz w:val="24"/>
          <w:szCs w:val="24"/>
        </w:rPr>
      </w:pPr>
      <w:r>
        <w:rPr>
          <w:rFonts w:hint="eastAsia" w:ascii="宋体" w:hAnsi="宋体"/>
          <w:sz w:val="24"/>
          <w:szCs w:val="24"/>
        </w:rPr>
        <w:t>2.奖励性绩效工资核增指标实行总量控制。学校年度核增部分奖励性绩效工资指标的总控制数为15万元，其所需经费在部门创收收入中予以解决。</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第十八条 各学院（中心）应将大型仪器设备使用绩效考核结果纳入部门年度综合考核指标，作为大型仪器设备管理和使用人员年终奖励性绩效工资考核分配的主要依据。</w:t>
      </w:r>
    </w:p>
    <w:p>
      <w:pPr>
        <w:widowControl/>
        <w:spacing w:line="360" w:lineRule="auto"/>
        <w:jc w:val="center"/>
        <w:rPr>
          <w:rFonts w:hint="eastAsia" w:ascii="黑体" w:hAnsi="黑体" w:eastAsia="黑体"/>
          <w:sz w:val="32"/>
          <w:szCs w:val="32"/>
        </w:rPr>
      </w:pPr>
      <w:r>
        <w:rPr>
          <w:rFonts w:hint="eastAsia" w:ascii="黑体" w:hAnsi="黑体" w:eastAsia="黑体"/>
          <w:sz w:val="32"/>
          <w:szCs w:val="32"/>
        </w:rPr>
        <w:t>第七章 附  则</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第十九条 各学院（中心）应制定本部门大型仪器设备岗位责任制和管理使用工作量核算办法，重视实验室专职队伍的内培外引工作，严格执行大型仪器设备“专人专管、专人使用、管用分离”规定。</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第二十条 各学院（中心）应切实加强大型仪器设备购置过程的必要性、可行性论证，确保大型仪器设备的使用具有“可行性、长效性、共享性”。</w:t>
      </w:r>
    </w:p>
    <w:p>
      <w:pPr>
        <w:widowControl/>
        <w:spacing w:line="360" w:lineRule="auto"/>
        <w:ind w:firstLine="540" w:firstLineChars="225"/>
        <w:jc w:val="left"/>
        <w:rPr>
          <w:rFonts w:hint="eastAsia" w:ascii="宋体" w:hAnsi="宋体"/>
          <w:sz w:val="24"/>
          <w:szCs w:val="24"/>
        </w:rPr>
      </w:pPr>
      <w:r>
        <w:rPr>
          <w:rFonts w:hint="eastAsia" w:ascii="宋体" w:hAnsi="宋体"/>
          <w:sz w:val="24"/>
          <w:szCs w:val="24"/>
        </w:rPr>
        <w:t>第二十一条 本办法自2020年开始实施，由学校实验室与资产管理处负责解释。</w:t>
      </w:r>
    </w:p>
    <w:p>
      <w:pPr>
        <w:widowControl/>
        <w:spacing w:line="360" w:lineRule="auto"/>
        <w:jc w:val="left"/>
        <w:rPr>
          <w:rFonts w:ascii="宋体" w:hAnsi="宋体"/>
          <w:sz w:val="24"/>
          <w:szCs w:val="24"/>
        </w:rPr>
      </w:pPr>
      <w:r>
        <w:rPr>
          <w:rFonts w:ascii="宋体" w:hAnsi="宋体"/>
          <w:sz w:val="24"/>
          <w:szCs w:val="24"/>
        </w:rPr>
        <w:t xml:space="preserve"> </w:t>
      </w:r>
    </w:p>
    <w:p>
      <w:pPr>
        <w:widowControl/>
        <w:spacing w:line="360" w:lineRule="auto"/>
        <w:jc w:val="left"/>
        <w:rPr>
          <w:rFonts w:hint="eastAsia" w:ascii="宋体" w:hAnsi="宋体"/>
          <w:sz w:val="24"/>
          <w:szCs w:val="24"/>
        </w:rPr>
      </w:pPr>
      <w:r>
        <w:rPr>
          <w:rFonts w:hint="eastAsia" w:ascii="宋体" w:hAnsi="宋体"/>
          <w:sz w:val="24"/>
          <w:szCs w:val="24"/>
        </w:rPr>
        <w:t>附件： 1.《衢州学院公共教学类大型仪器设备使用绩效考核记分表》</w:t>
      </w:r>
    </w:p>
    <w:p>
      <w:pPr>
        <w:widowControl/>
        <w:spacing w:line="360" w:lineRule="auto"/>
        <w:ind w:left="420" w:leftChars="150" w:firstLine="480" w:firstLineChars="200"/>
        <w:jc w:val="left"/>
        <w:rPr>
          <w:rFonts w:hint="eastAsia" w:ascii="宋体" w:hAnsi="宋体"/>
          <w:sz w:val="24"/>
          <w:szCs w:val="24"/>
        </w:rPr>
      </w:pPr>
      <w:r>
        <w:rPr>
          <w:rFonts w:hint="eastAsia" w:ascii="宋体" w:hAnsi="宋体"/>
          <w:sz w:val="24"/>
          <w:szCs w:val="24"/>
        </w:rPr>
        <w:t>2.《衢州学院专业教学类大型仪器设备使用绩效考核记分表》</w:t>
      </w:r>
    </w:p>
    <w:p>
      <w:pPr>
        <w:widowControl/>
        <w:spacing w:line="360" w:lineRule="auto"/>
        <w:ind w:firstLine="840" w:firstLineChars="350"/>
        <w:jc w:val="left"/>
        <w:rPr>
          <w:rFonts w:hint="eastAsia" w:ascii="宋体" w:hAnsi="宋体"/>
          <w:sz w:val="24"/>
          <w:szCs w:val="24"/>
        </w:rPr>
      </w:pPr>
      <w:r>
        <w:rPr>
          <w:rFonts w:hint="eastAsia" w:ascii="宋体" w:hAnsi="宋体"/>
          <w:sz w:val="24"/>
          <w:szCs w:val="24"/>
        </w:rPr>
        <w:t>3.《衢州学院科学研究类大型仪器设备使用绩效考核记分表》</w:t>
      </w:r>
    </w:p>
    <w:p>
      <w:pPr>
        <w:widowControl/>
        <w:spacing w:line="360" w:lineRule="auto"/>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p>
    <w:p>
      <w:pPr>
        <w:widowControl/>
        <w:jc w:val="left"/>
        <w:rPr>
          <w:rFonts w:ascii="宋体" w:hAnsi="宋体"/>
          <w:sz w:val="24"/>
          <w:szCs w:val="24"/>
        </w:rPr>
      </w:pPr>
      <w:r>
        <w:drawing>
          <wp:inline distT="0" distB="0" distL="0" distR="0">
            <wp:extent cx="5688330" cy="7222490"/>
            <wp:effectExtent l="0" t="0" r="762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a:stretch>
                      <a:fillRect/>
                    </a:stretch>
                  </pic:blipFill>
                  <pic:spPr>
                    <a:xfrm>
                      <a:off x="0" y="0"/>
                      <a:ext cx="5688330" cy="7222682"/>
                    </a:xfrm>
                    <a:prstGeom prst="rect">
                      <a:avLst/>
                    </a:prstGeom>
                  </pic:spPr>
                </pic:pic>
              </a:graphicData>
            </a:graphic>
          </wp:inline>
        </w:drawing>
      </w: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r>
        <w:drawing>
          <wp:inline distT="0" distB="0" distL="0" distR="0">
            <wp:extent cx="5688330" cy="7355205"/>
            <wp:effectExtent l="0" t="0" r="762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8"/>
                    <a:stretch>
                      <a:fillRect/>
                    </a:stretch>
                  </pic:blipFill>
                  <pic:spPr>
                    <a:xfrm>
                      <a:off x="0" y="0"/>
                      <a:ext cx="5688330" cy="7355599"/>
                    </a:xfrm>
                    <a:prstGeom prst="rect">
                      <a:avLst/>
                    </a:prstGeom>
                  </pic:spPr>
                </pic:pic>
              </a:graphicData>
            </a:graphic>
          </wp:inline>
        </w:drawing>
      </w: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hint="eastAsia" w:ascii="宋体" w:hAnsi="宋体"/>
          <w:sz w:val="24"/>
          <w:szCs w:val="24"/>
        </w:rPr>
      </w:pPr>
    </w:p>
    <w:p>
      <w:pPr>
        <w:widowControl/>
        <w:jc w:val="left"/>
        <w:rPr>
          <w:rFonts w:ascii="宋体" w:hAnsi="宋体"/>
          <w:sz w:val="24"/>
          <w:szCs w:val="24"/>
        </w:rPr>
      </w:pPr>
      <w:r>
        <w:drawing>
          <wp:inline distT="0" distB="0" distL="0" distR="0">
            <wp:extent cx="5688330" cy="6977380"/>
            <wp:effectExtent l="0" t="0" r="762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stretch>
                      <a:fillRect/>
                    </a:stretch>
                  </pic:blipFill>
                  <pic:spPr>
                    <a:xfrm>
                      <a:off x="0" y="0"/>
                      <a:ext cx="5688330" cy="6977685"/>
                    </a:xfrm>
                    <a:prstGeom prst="rect">
                      <a:avLst/>
                    </a:prstGeom>
                  </pic:spPr>
                </pic:pic>
              </a:graphicData>
            </a:graphic>
          </wp:inline>
        </w:drawing>
      </w:r>
    </w:p>
    <w:sectPr>
      <w:headerReference r:id="rId9" w:type="default"/>
      <w:footerReference r:id="rId10" w:type="default"/>
      <w:pgSz w:w="11906" w:h="16838"/>
      <w:pgMar w:top="1440" w:right="1474" w:bottom="1440" w:left="1474" w:header="851" w:footer="992" w:gutter="0"/>
      <w:cols w:space="720" w:num="1"/>
      <w:docGrid w:type="lines" w:linePitch="3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等线 Light">
    <w:altName w:val="Arial Unicode MS"/>
    <w:panose1 w:val="00000000000000000000"/>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Arial Rounded MT Bold">
    <w:panose1 w:val="020F0704030504030204"/>
    <w:charset w:val="00"/>
    <w:family w:val="swiss"/>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posOffset>2739390</wp:posOffset>
              </wp:positionH>
              <wp:positionV relativeFrom="page">
                <wp:posOffset>9916160</wp:posOffset>
              </wp:positionV>
              <wp:extent cx="58420" cy="139700"/>
              <wp:effectExtent l="0" t="0" r="17145" b="1270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15.7pt;margin-top:780.8pt;height:11pt;width:4.6pt;mso-position-horizontal-relative:margin;mso-position-vertical-relative:page;mso-wrap-style:none;z-index:251659264;mso-width-relative:page;mso-height-relative:page;" filled="f" stroked="f" coordsize="21600,21600" o:gfxdata="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ovC42AAAAA0BAAAPAAAAAAAAAAEAIAAAACIAAABkcnMvZG93bnJldi54bWxQSwECFAAUAAAA&#10;CACHTuJAxv/ksO4BAAC1AwAADgAAAAAAAAABACAAAAAnAQAAZHJzL2Uyb0RvYy54bWxQSwUGAAAA&#10;AAYABgBZAQAAh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文本框 1" o:spid="_x0000_s2050" o:spt="202" type="#_x0000_t202" style="position:absolute;left:0pt;margin-top:-21.75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jc w:val="cente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137</w:t>
                </w:r>
                <w:r>
                  <w:rPr>
                    <w:rFonts w:hint="eastAsia" w:ascii="宋体" w:hAnsi="宋体"/>
                    <w:sz w:val="28"/>
                    <w:szCs w:val="28"/>
                    <w:lang w:val="zh-CN"/>
                  </w:rPr>
                  <w:fldChar w:fldCharType="end"/>
                </w:r>
              </w:p>
            </w:txbxContent>
          </v:textbox>
        </v:shape>
      </w:pic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4"/>
      <w:numFmt w:val="chineseCounting"/>
      <w:suff w:val="nothing"/>
      <w:lvlText w:val="（%1）"/>
      <w:lvlJc w:val="left"/>
    </w:lvl>
  </w:abstractNum>
  <w:abstractNum w:abstractNumId="1">
    <w:nsid w:val="054D12B7"/>
    <w:multiLevelType w:val="multilevel"/>
    <w:tmpl w:val="054D12B7"/>
    <w:lvl w:ilvl="0" w:tentative="0">
      <w:start w:val="1"/>
      <w:numFmt w:val="decimal"/>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0C693867"/>
    <w:multiLevelType w:val="multilevel"/>
    <w:tmpl w:val="0C693867"/>
    <w:lvl w:ilvl="0" w:tentative="0">
      <w:start w:val="1"/>
      <w:numFmt w:val="japaneseCounting"/>
      <w:lvlText w:val="%1、"/>
      <w:lvlJc w:val="left"/>
      <w:pPr>
        <w:tabs>
          <w:tab w:val="left" w:pos="915"/>
        </w:tabs>
        <w:ind w:left="915" w:hanging="48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97751DC"/>
    <w:multiLevelType w:val="multilevel"/>
    <w:tmpl w:val="397751DC"/>
    <w:lvl w:ilvl="0" w:tentative="0">
      <w:start w:val="3"/>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CC2F51"/>
    <w:multiLevelType w:val="multilevel"/>
    <w:tmpl w:val="47CC2F51"/>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533F6620"/>
    <w:multiLevelType w:val="multilevel"/>
    <w:tmpl w:val="533F66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19D039"/>
    <w:multiLevelType w:val="singleLevel"/>
    <w:tmpl w:val="5819D039"/>
    <w:lvl w:ilvl="0" w:tentative="0">
      <w:start w:val="1"/>
      <w:numFmt w:val="chineseCounting"/>
      <w:suff w:val="space"/>
      <w:lvlText w:val="第%1章"/>
      <w:lvlJc w:val="left"/>
    </w:lvl>
  </w:abstractNum>
  <w:abstractNum w:abstractNumId="7">
    <w:nsid w:val="5819D1AA"/>
    <w:multiLevelType w:val="singleLevel"/>
    <w:tmpl w:val="5819D1AA"/>
    <w:lvl w:ilvl="0" w:tentative="0">
      <w:start w:val="1"/>
      <w:numFmt w:val="chineseCounting"/>
      <w:suff w:val="space"/>
      <w:lvlText w:val="第%1章"/>
      <w:lvlJc w:val="left"/>
    </w:lvl>
  </w:abstractNum>
  <w:abstractNum w:abstractNumId="8">
    <w:nsid w:val="5819D364"/>
    <w:multiLevelType w:val="singleLevel"/>
    <w:tmpl w:val="5819D364"/>
    <w:lvl w:ilvl="0" w:tentative="0">
      <w:start w:val="1"/>
      <w:numFmt w:val="chineseCounting"/>
      <w:suff w:val="space"/>
      <w:lvlText w:val="第%1章"/>
      <w:lvlJc w:val="left"/>
    </w:lvl>
  </w:abstractNum>
  <w:abstractNum w:abstractNumId="9">
    <w:nsid w:val="5819D384"/>
    <w:multiLevelType w:val="singleLevel"/>
    <w:tmpl w:val="5819D384"/>
    <w:lvl w:ilvl="0" w:tentative="0">
      <w:start w:val="4"/>
      <w:numFmt w:val="chineseCounting"/>
      <w:suff w:val="space"/>
      <w:lvlText w:val="第%1章"/>
      <w:lvlJc w:val="left"/>
    </w:lvl>
  </w:abstractNum>
  <w:abstractNum w:abstractNumId="10">
    <w:nsid w:val="5819D3CF"/>
    <w:multiLevelType w:val="singleLevel"/>
    <w:tmpl w:val="5819D3CF"/>
    <w:lvl w:ilvl="0" w:tentative="0">
      <w:start w:val="1"/>
      <w:numFmt w:val="chineseCounting"/>
      <w:suff w:val="space"/>
      <w:lvlText w:val="第%1章"/>
      <w:lvlJc w:val="left"/>
    </w:lvl>
  </w:abstractNum>
  <w:abstractNum w:abstractNumId="11">
    <w:nsid w:val="5819D458"/>
    <w:multiLevelType w:val="singleLevel"/>
    <w:tmpl w:val="5819D458"/>
    <w:lvl w:ilvl="0" w:tentative="0">
      <w:start w:val="1"/>
      <w:numFmt w:val="chineseCounting"/>
      <w:suff w:val="space"/>
      <w:lvlText w:val="第%1章"/>
      <w:lvlJc w:val="left"/>
    </w:lvl>
  </w:abstractNum>
  <w:abstractNum w:abstractNumId="12">
    <w:nsid w:val="5819D471"/>
    <w:multiLevelType w:val="singleLevel"/>
    <w:tmpl w:val="5819D471"/>
    <w:lvl w:ilvl="0" w:tentative="0">
      <w:start w:val="6"/>
      <w:numFmt w:val="chineseCounting"/>
      <w:suff w:val="space"/>
      <w:lvlText w:val="第%1条"/>
      <w:lvlJc w:val="left"/>
    </w:lvl>
  </w:abstractNum>
  <w:abstractNum w:abstractNumId="13">
    <w:nsid w:val="5819D47D"/>
    <w:multiLevelType w:val="singleLevel"/>
    <w:tmpl w:val="5819D47D"/>
    <w:lvl w:ilvl="0" w:tentative="0">
      <w:start w:val="4"/>
      <w:numFmt w:val="chineseCounting"/>
      <w:suff w:val="space"/>
      <w:lvlText w:val="第%1章"/>
      <w:lvlJc w:val="left"/>
    </w:lvl>
  </w:abstractNum>
  <w:abstractNum w:abstractNumId="14">
    <w:nsid w:val="5819D4A3"/>
    <w:multiLevelType w:val="singleLevel"/>
    <w:tmpl w:val="5819D4A3"/>
    <w:lvl w:ilvl="0" w:tentative="0">
      <w:start w:val="7"/>
      <w:numFmt w:val="chineseCounting"/>
      <w:suff w:val="space"/>
      <w:lvlText w:val="第%1章"/>
      <w:lvlJc w:val="left"/>
    </w:lvl>
  </w:abstractNum>
  <w:abstractNum w:abstractNumId="15">
    <w:nsid w:val="5819D4DF"/>
    <w:multiLevelType w:val="singleLevel"/>
    <w:tmpl w:val="5819D4DF"/>
    <w:lvl w:ilvl="0" w:tentative="0">
      <w:start w:val="1"/>
      <w:numFmt w:val="chineseCounting"/>
      <w:suff w:val="space"/>
      <w:lvlText w:val="第%1章"/>
      <w:lvlJc w:val="left"/>
    </w:lvl>
  </w:abstractNum>
  <w:abstractNum w:abstractNumId="16">
    <w:nsid w:val="5819D507"/>
    <w:multiLevelType w:val="singleLevel"/>
    <w:tmpl w:val="5819D507"/>
    <w:lvl w:ilvl="0" w:tentative="0">
      <w:start w:val="4"/>
      <w:numFmt w:val="chineseCounting"/>
      <w:suff w:val="space"/>
      <w:lvlText w:val="第%1章"/>
      <w:lvlJc w:val="left"/>
    </w:lvl>
  </w:abstractNum>
  <w:abstractNum w:abstractNumId="17">
    <w:nsid w:val="5819D52A"/>
    <w:multiLevelType w:val="singleLevel"/>
    <w:tmpl w:val="5819D52A"/>
    <w:lvl w:ilvl="0" w:tentative="0">
      <w:start w:val="1"/>
      <w:numFmt w:val="chineseCounting"/>
      <w:suff w:val="space"/>
      <w:lvlText w:val="第%1章"/>
      <w:lvlJc w:val="left"/>
    </w:lvl>
  </w:abstractNum>
  <w:abstractNum w:abstractNumId="18">
    <w:nsid w:val="5819D544"/>
    <w:multiLevelType w:val="singleLevel"/>
    <w:tmpl w:val="5819D544"/>
    <w:lvl w:ilvl="0" w:tentative="0">
      <w:start w:val="3"/>
      <w:numFmt w:val="chineseCounting"/>
      <w:suff w:val="space"/>
      <w:lvlText w:val="第%1章"/>
      <w:lvlJc w:val="left"/>
    </w:lvl>
  </w:abstractNum>
  <w:abstractNum w:abstractNumId="19">
    <w:nsid w:val="5819D79B"/>
    <w:multiLevelType w:val="singleLevel"/>
    <w:tmpl w:val="5819D79B"/>
    <w:lvl w:ilvl="0" w:tentative="0">
      <w:start w:val="1"/>
      <w:numFmt w:val="chineseCounting"/>
      <w:suff w:val="space"/>
      <w:lvlText w:val="第%1章"/>
      <w:lvlJc w:val="left"/>
    </w:lvl>
  </w:abstractNum>
  <w:abstractNum w:abstractNumId="20">
    <w:nsid w:val="582590A2"/>
    <w:multiLevelType w:val="singleLevel"/>
    <w:tmpl w:val="582590A2"/>
    <w:lvl w:ilvl="0" w:tentative="0">
      <w:start w:val="1"/>
      <w:numFmt w:val="chineseCounting"/>
      <w:suff w:val="space"/>
      <w:lvlText w:val="第%1章"/>
      <w:lvlJc w:val="left"/>
    </w:lvl>
  </w:abstractNum>
  <w:abstractNum w:abstractNumId="21">
    <w:nsid w:val="582591FB"/>
    <w:multiLevelType w:val="singleLevel"/>
    <w:tmpl w:val="582591FB"/>
    <w:lvl w:ilvl="0" w:tentative="0">
      <w:start w:val="5"/>
      <w:numFmt w:val="chineseCounting"/>
      <w:suff w:val="space"/>
      <w:lvlText w:val="第%1条"/>
      <w:lvlJc w:val="left"/>
      <w:rPr>
        <w:b/>
      </w:rPr>
    </w:lvl>
  </w:abstractNum>
  <w:abstractNum w:abstractNumId="22">
    <w:nsid w:val="582593DE"/>
    <w:multiLevelType w:val="singleLevel"/>
    <w:tmpl w:val="582593DE"/>
    <w:lvl w:ilvl="0" w:tentative="0">
      <w:start w:val="1"/>
      <w:numFmt w:val="chineseCounting"/>
      <w:suff w:val="space"/>
      <w:lvlText w:val="第%1章"/>
      <w:lvlJc w:val="left"/>
    </w:lvl>
  </w:abstractNum>
  <w:abstractNum w:abstractNumId="23">
    <w:nsid w:val="582593ED"/>
    <w:multiLevelType w:val="singleLevel"/>
    <w:tmpl w:val="582593ED"/>
    <w:lvl w:ilvl="0" w:tentative="0">
      <w:start w:val="1"/>
      <w:numFmt w:val="chineseCounting"/>
      <w:suff w:val="space"/>
      <w:lvlText w:val="第%1条"/>
      <w:lvlJc w:val="left"/>
    </w:lvl>
  </w:abstractNum>
  <w:abstractNum w:abstractNumId="24">
    <w:nsid w:val="582593F9"/>
    <w:multiLevelType w:val="singleLevel"/>
    <w:tmpl w:val="582593F9"/>
    <w:lvl w:ilvl="0" w:tentative="0">
      <w:start w:val="2"/>
      <w:numFmt w:val="chineseCounting"/>
      <w:suff w:val="space"/>
      <w:lvlText w:val="第%1章"/>
      <w:lvlJc w:val="left"/>
    </w:lvl>
  </w:abstractNum>
  <w:abstractNum w:abstractNumId="25">
    <w:nsid w:val="66D96F18"/>
    <w:multiLevelType w:val="multilevel"/>
    <w:tmpl w:val="66D96F18"/>
    <w:lvl w:ilvl="0" w:tentative="0">
      <w:start w:val="6"/>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F2458C1"/>
    <w:multiLevelType w:val="multilevel"/>
    <w:tmpl w:val="7F2458C1"/>
    <w:lvl w:ilvl="0" w:tentative="0">
      <w:start w:val="2"/>
      <w:numFmt w:val="japaneseCounting"/>
      <w:lvlText w:val="第%1章"/>
      <w:lvlJc w:val="left"/>
      <w:pPr>
        <w:tabs>
          <w:tab w:val="left" w:pos="1515"/>
        </w:tabs>
        <w:ind w:left="1515" w:hanging="108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6"/>
  </w:num>
  <w:num w:numId="2">
    <w:abstractNumId w:val="20"/>
  </w:num>
  <w:num w:numId="3">
    <w:abstractNumId w:val="21"/>
  </w:num>
  <w:num w:numId="4">
    <w:abstractNumId w:val="7"/>
  </w:num>
  <w:num w:numId="5">
    <w:abstractNumId w:val="22"/>
  </w:num>
  <w:num w:numId="6">
    <w:abstractNumId w:val="23"/>
  </w:num>
  <w:num w:numId="7">
    <w:abstractNumId w:val="24"/>
  </w:num>
  <w:num w:numId="8">
    <w:abstractNumId w:val="1"/>
  </w:num>
  <w:num w:numId="9">
    <w:abstractNumId w:val="5"/>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25"/>
  </w:num>
  <w:num w:numId="17">
    <w:abstractNumId w:val="14"/>
  </w:num>
  <w:num w:numId="18">
    <w:abstractNumId w:val="15"/>
  </w:num>
  <w:num w:numId="19">
    <w:abstractNumId w:val="3"/>
  </w:num>
  <w:num w:numId="20">
    <w:abstractNumId w:val="16"/>
  </w:num>
  <w:num w:numId="21">
    <w:abstractNumId w:val="17"/>
  </w:num>
  <w:num w:numId="22">
    <w:abstractNumId w:val="26"/>
  </w:num>
  <w:num w:numId="23">
    <w:abstractNumId w:val="18"/>
  </w:num>
  <w:num w:numId="24">
    <w:abstractNumId w:val="2"/>
  </w:num>
  <w:num w:numId="25">
    <w:abstractNumId w:val="4"/>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40"/>
  <w:drawingGridVerticalSpacing w:val="3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96"/>
    <w:rsid w:val="000205B5"/>
    <w:rsid w:val="00072800"/>
    <w:rsid w:val="000805FD"/>
    <w:rsid w:val="00081479"/>
    <w:rsid w:val="000832B4"/>
    <w:rsid w:val="000B41FB"/>
    <w:rsid w:val="00106DA1"/>
    <w:rsid w:val="001454C7"/>
    <w:rsid w:val="001D4947"/>
    <w:rsid w:val="00224987"/>
    <w:rsid w:val="00240896"/>
    <w:rsid w:val="002A7FD0"/>
    <w:rsid w:val="002E1063"/>
    <w:rsid w:val="003160D7"/>
    <w:rsid w:val="00345678"/>
    <w:rsid w:val="0039026F"/>
    <w:rsid w:val="00401E98"/>
    <w:rsid w:val="004506F7"/>
    <w:rsid w:val="004551EB"/>
    <w:rsid w:val="00481F0C"/>
    <w:rsid w:val="004829F3"/>
    <w:rsid w:val="004B0736"/>
    <w:rsid w:val="0051063C"/>
    <w:rsid w:val="005477A5"/>
    <w:rsid w:val="005816A7"/>
    <w:rsid w:val="00587218"/>
    <w:rsid w:val="00591313"/>
    <w:rsid w:val="0059257A"/>
    <w:rsid w:val="005B0DC3"/>
    <w:rsid w:val="005E42B0"/>
    <w:rsid w:val="005E6EFF"/>
    <w:rsid w:val="0062728D"/>
    <w:rsid w:val="0066358D"/>
    <w:rsid w:val="006846B5"/>
    <w:rsid w:val="0068553C"/>
    <w:rsid w:val="00694443"/>
    <w:rsid w:val="006A67C1"/>
    <w:rsid w:val="006C747C"/>
    <w:rsid w:val="006F13AC"/>
    <w:rsid w:val="006F751A"/>
    <w:rsid w:val="007005DE"/>
    <w:rsid w:val="00727A3A"/>
    <w:rsid w:val="007513C5"/>
    <w:rsid w:val="00756422"/>
    <w:rsid w:val="007762E9"/>
    <w:rsid w:val="00784BD5"/>
    <w:rsid w:val="007906EF"/>
    <w:rsid w:val="007C188A"/>
    <w:rsid w:val="00804EED"/>
    <w:rsid w:val="0080546A"/>
    <w:rsid w:val="00832286"/>
    <w:rsid w:val="008543EB"/>
    <w:rsid w:val="00854535"/>
    <w:rsid w:val="00873957"/>
    <w:rsid w:val="008D3E8A"/>
    <w:rsid w:val="008D70A4"/>
    <w:rsid w:val="008E154F"/>
    <w:rsid w:val="008E48C2"/>
    <w:rsid w:val="009010AA"/>
    <w:rsid w:val="00901281"/>
    <w:rsid w:val="00997950"/>
    <w:rsid w:val="009E0027"/>
    <w:rsid w:val="00A5485D"/>
    <w:rsid w:val="00A83AD1"/>
    <w:rsid w:val="00A91FB4"/>
    <w:rsid w:val="00AC1B0D"/>
    <w:rsid w:val="00AF7EE5"/>
    <w:rsid w:val="00B06CFE"/>
    <w:rsid w:val="00B508B1"/>
    <w:rsid w:val="00B55E04"/>
    <w:rsid w:val="00BA3195"/>
    <w:rsid w:val="00BE3C2F"/>
    <w:rsid w:val="00BF307B"/>
    <w:rsid w:val="00C032E6"/>
    <w:rsid w:val="00C17376"/>
    <w:rsid w:val="00C1796B"/>
    <w:rsid w:val="00C35E88"/>
    <w:rsid w:val="00C40DF2"/>
    <w:rsid w:val="00C46493"/>
    <w:rsid w:val="00C87E92"/>
    <w:rsid w:val="00CB651B"/>
    <w:rsid w:val="00CC46F5"/>
    <w:rsid w:val="00CD11D8"/>
    <w:rsid w:val="00CE39EF"/>
    <w:rsid w:val="00D0133F"/>
    <w:rsid w:val="00D05144"/>
    <w:rsid w:val="00D5736D"/>
    <w:rsid w:val="00D71558"/>
    <w:rsid w:val="00E23C59"/>
    <w:rsid w:val="00E34585"/>
    <w:rsid w:val="00E82566"/>
    <w:rsid w:val="00EC6442"/>
    <w:rsid w:val="00EE49C9"/>
    <w:rsid w:val="00EF5093"/>
    <w:rsid w:val="00F002FD"/>
    <w:rsid w:val="00F056D5"/>
    <w:rsid w:val="00F32875"/>
    <w:rsid w:val="00FA74D1"/>
    <w:rsid w:val="00FB3494"/>
    <w:rsid w:val="390C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8"/>
      <w:szCs w:val="28"/>
      <w:lang w:val="en-US" w:eastAsia="zh-CN" w:bidi="ar-SA"/>
    </w:rPr>
  </w:style>
  <w:style w:type="paragraph" w:styleId="2">
    <w:name w:val="heading 1"/>
    <w:basedOn w:val="1"/>
    <w:next w:val="1"/>
    <w:link w:val="18"/>
    <w:qFormat/>
    <w:uiPriority w:val="0"/>
    <w:pPr>
      <w:keepNext/>
      <w:keepLines/>
      <w:spacing w:before="340" w:after="330" w:line="578" w:lineRule="auto"/>
      <w:jc w:val="center"/>
      <w:outlineLvl w:val="0"/>
    </w:pPr>
    <w:rPr>
      <w:rFonts w:ascii="Times New Roman" w:hAnsi="Times New Roman" w:eastAsia="黑体" w:cs="Times New Roman"/>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ody Text"/>
    <w:basedOn w:val="1"/>
    <w:link w:val="25"/>
    <w:uiPriority w:val="0"/>
    <w:pPr>
      <w:spacing w:after="120"/>
    </w:pPr>
    <w:rPr>
      <w:rFonts w:ascii="Times New Roman" w:hAnsi="Times New Roman" w:cs="Times New Roman"/>
      <w:sz w:val="21"/>
      <w:szCs w:val="24"/>
    </w:rPr>
  </w:style>
  <w:style w:type="paragraph" w:styleId="4">
    <w:name w:val="Body Text Indent"/>
    <w:basedOn w:val="1"/>
    <w:link w:val="24"/>
    <w:uiPriority w:val="0"/>
    <w:pPr>
      <w:spacing w:after="120"/>
      <w:ind w:left="420" w:leftChars="200"/>
    </w:pPr>
  </w:style>
  <w:style w:type="paragraph" w:styleId="5">
    <w:name w:val="Plain Text"/>
    <w:basedOn w:val="1"/>
    <w:link w:val="20"/>
    <w:qFormat/>
    <w:uiPriority w:val="0"/>
    <w:rPr>
      <w:rFonts w:ascii="宋体" w:hAnsi="Courier New" w:cstheme="minorBidi"/>
      <w:sz w:val="21"/>
      <w:szCs w:val="22"/>
    </w:rPr>
  </w:style>
  <w:style w:type="paragraph" w:styleId="6">
    <w:name w:val="Date"/>
    <w:basedOn w:val="1"/>
    <w:next w:val="1"/>
    <w:link w:val="32"/>
    <w:unhideWhenUsed/>
    <w:qFormat/>
    <w:uiPriority w:val="0"/>
    <w:rPr>
      <w:rFonts w:ascii="Times New Roman" w:hAnsi="Times New Roman" w:cs="Times New Roman"/>
      <w:sz w:val="21"/>
      <w:szCs w:val="20"/>
    </w:rPr>
  </w:style>
  <w:style w:type="paragraph" w:styleId="7">
    <w:name w:val="Body Text Indent 2"/>
    <w:basedOn w:val="1"/>
    <w:link w:val="29"/>
    <w:qFormat/>
    <w:uiPriority w:val="0"/>
    <w:pPr>
      <w:spacing w:after="120" w:line="480" w:lineRule="auto"/>
      <w:ind w:left="420" w:leftChars="200"/>
    </w:pPr>
    <w:rPr>
      <w:rFonts w:ascii="Times New Roman" w:hAnsi="Times New Roman" w:cs="Times New Roman"/>
      <w:sz w:val="21"/>
      <w:szCs w:val="24"/>
    </w:rPr>
  </w:style>
  <w:style w:type="paragraph" w:styleId="8">
    <w:name w:val="Balloon Text"/>
    <w:basedOn w:val="1"/>
    <w:link w:val="28"/>
    <w:semiHidden/>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widowControl/>
      <w:spacing w:before="100" w:beforeAutospacing="1" w:after="100" w:afterAutospacing="1"/>
      <w:jc w:val="left"/>
    </w:pPr>
    <w:rPr>
      <w:rFonts w:ascii="宋体" w:hAnsi="宋体" w:cs="Times New Roman"/>
      <w:color w:val="685939"/>
      <w:kern w:val="0"/>
      <w:sz w:val="20"/>
      <w:szCs w:val="20"/>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character" w:customStyle="1" w:styleId="18">
    <w:name w:val="标题 1 Char"/>
    <w:basedOn w:val="15"/>
    <w:link w:val="2"/>
    <w:uiPriority w:val="0"/>
    <w:rPr>
      <w:rFonts w:ascii="Times New Roman" w:hAnsi="Times New Roman" w:eastAsia="黑体" w:cs="Times New Roman"/>
      <w:b/>
      <w:bCs/>
      <w:kern w:val="44"/>
      <w:sz w:val="44"/>
      <w:szCs w:val="44"/>
    </w:rPr>
  </w:style>
  <w:style w:type="character" w:customStyle="1" w:styleId="19">
    <w:name w:val="title7"/>
    <w:qFormat/>
    <w:uiPriority w:val="0"/>
    <w:rPr>
      <w:b/>
      <w:bCs/>
      <w:color w:val="000000"/>
      <w:sz w:val="27"/>
      <w:szCs w:val="27"/>
    </w:rPr>
  </w:style>
  <w:style w:type="character" w:customStyle="1" w:styleId="20">
    <w:name w:val="纯文本 Char"/>
    <w:link w:val="5"/>
    <w:qFormat/>
    <w:locked/>
    <w:uiPriority w:val="0"/>
    <w:rPr>
      <w:rFonts w:ascii="宋体" w:hAnsi="Courier New" w:eastAsia="宋体"/>
    </w:rPr>
  </w:style>
  <w:style w:type="character" w:customStyle="1" w:styleId="21">
    <w:name w:val="纯文本 字符1"/>
    <w:basedOn w:val="15"/>
    <w:semiHidden/>
    <w:uiPriority w:val="99"/>
    <w:rPr>
      <w:rFonts w:hAnsi="Courier New" w:cs="Courier New" w:asciiTheme="minorEastAsia"/>
      <w:sz w:val="28"/>
      <w:szCs w:val="28"/>
    </w:rPr>
  </w:style>
  <w:style w:type="paragraph" w:styleId="22">
    <w:name w:val="List Paragraph"/>
    <w:basedOn w:val="1"/>
    <w:qFormat/>
    <w:uiPriority w:val="0"/>
    <w:pPr>
      <w:ind w:firstLine="420" w:firstLineChars="200"/>
    </w:pPr>
  </w:style>
  <w:style w:type="paragraph" w:customStyle="1" w:styleId="23">
    <w:name w:val="列出段落1"/>
    <w:basedOn w:val="1"/>
    <w:qFormat/>
    <w:uiPriority w:val="0"/>
    <w:pPr>
      <w:ind w:firstLine="420" w:firstLineChars="200"/>
    </w:pPr>
    <w:rPr>
      <w:rFonts w:cs="Times New Roman"/>
      <w:sz w:val="21"/>
      <w:szCs w:val="22"/>
    </w:rPr>
  </w:style>
  <w:style w:type="character" w:customStyle="1" w:styleId="24">
    <w:name w:val="正文文本缩进 Char"/>
    <w:basedOn w:val="15"/>
    <w:link w:val="4"/>
    <w:qFormat/>
    <w:uiPriority w:val="0"/>
    <w:rPr>
      <w:rFonts w:ascii="Calibri" w:hAnsi="Calibri" w:eastAsia="宋体" w:cs="宋体"/>
      <w:sz w:val="28"/>
      <w:szCs w:val="28"/>
    </w:rPr>
  </w:style>
  <w:style w:type="character" w:customStyle="1" w:styleId="25">
    <w:name w:val="正文文本 Char"/>
    <w:basedOn w:val="15"/>
    <w:link w:val="3"/>
    <w:qFormat/>
    <w:uiPriority w:val="0"/>
    <w:rPr>
      <w:rFonts w:ascii="Times New Roman" w:hAnsi="Times New Roman" w:eastAsia="宋体" w:cs="Times New Roman"/>
      <w:szCs w:val="24"/>
    </w:rPr>
  </w:style>
  <w:style w:type="character" w:customStyle="1" w:styleId="26">
    <w:name w:val="页眉 Char"/>
    <w:basedOn w:val="15"/>
    <w:link w:val="10"/>
    <w:qFormat/>
    <w:uiPriority w:val="99"/>
    <w:rPr>
      <w:rFonts w:ascii="Calibri" w:hAnsi="Calibri" w:eastAsia="宋体" w:cs="宋体"/>
      <w:sz w:val="18"/>
      <w:szCs w:val="18"/>
    </w:rPr>
  </w:style>
  <w:style w:type="character" w:customStyle="1" w:styleId="27">
    <w:name w:val="页脚 Char"/>
    <w:basedOn w:val="15"/>
    <w:link w:val="9"/>
    <w:uiPriority w:val="99"/>
    <w:rPr>
      <w:rFonts w:ascii="Calibri" w:hAnsi="Calibri" w:eastAsia="宋体" w:cs="宋体"/>
      <w:sz w:val="18"/>
      <w:szCs w:val="18"/>
    </w:rPr>
  </w:style>
  <w:style w:type="character" w:customStyle="1" w:styleId="28">
    <w:name w:val="批注框文本 Char"/>
    <w:basedOn w:val="15"/>
    <w:link w:val="8"/>
    <w:semiHidden/>
    <w:qFormat/>
    <w:uiPriority w:val="0"/>
    <w:rPr>
      <w:rFonts w:ascii="Calibri" w:hAnsi="Calibri" w:eastAsia="宋体" w:cs="宋体"/>
      <w:sz w:val="18"/>
      <w:szCs w:val="18"/>
    </w:rPr>
  </w:style>
  <w:style w:type="character" w:customStyle="1" w:styleId="29">
    <w:name w:val="正文文本缩进 2 Char"/>
    <w:basedOn w:val="15"/>
    <w:link w:val="7"/>
    <w:qFormat/>
    <w:uiPriority w:val="0"/>
    <w:rPr>
      <w:rFonts w:ascii="Times New Roman" w:hAnsi="Times New Roman" w:eastAsia="宋体" w:cs="Times New Roman"/>
      <w:szCs w:val="24"/>
    </w:rPr>
  </w:style>
  <w:style w:type="paragraph" w:customStyle="1" w:styleId="3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1">
    <w:name w:val="bold1"/>
    <w:qFormat/>
    <w:uiPriority w:val="0"/>
    <w:rPr>
      <w:b/>
      <w:bCs/>
    </w:rPr>
  </w:style>
  <w:style w:type="character" w:customStyle="1" w:styleId="32">
    <w:name w:val="日期 Char"/>
    <w:link w:val="6"/>
    <w:qFormat/>
    <w:uiPriority w:val="0"/>
    <w:rPr>
      <w:rFonts w:ascii="Times New Roman" w:hAnsi="Times New Roman" w:eastAsia="宋体" w:cs="Times New Roman"/>
      <w:szCs w:val="20"/>
    </w:rPr>
  </w:style>
  <w:style w:type="character" w:customStyle="1" w:styleId="33">
    <w:name w:val="日期 Char1"/>
    <w:basedOn w:val="15"/>
    <w:semiHidden/>
    <w:qFormat/>
    <w:uiPriority w:val="99"/>
    <w:rPr>
      <w:rFonts w:ascii="Calibri" w:hAnsi="Calibri"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bmp"/><Relationship Id="rId17" Type="http://schemas.openxmlformats.org/officeDocument/2006/relationships/image" Target="media/image4.png"/><Relationship Id="rId16" Type="http://schemas.openxmlformats.org/officeDocument/2006/relationships/image" Target="media/image3.e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232A7-6F1C-490D-869D-06F91916F8C7}">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140</Pages>
  <Words>12574</Words>
  <Characters>71676</Characters>
  <Lines>597</Lines>
  <Paragraphs>168</Paragraphs>
  <TotalTime>82</TotalTime>
  <ScaleCrop>false</ScaleCrop>
  <LinksUpToDate>false</LinksUpToDate>
  <CharactersWithSpaces>84082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2020-04-29T07:07:00Z</dcterms:created>
  <dc:creator>qz</dc:creator>
  <cp:lastModifiedBy>Administrator</cp:lastModifiedBy>
  <cp:lastPrinted>2020-04-29T08:21:00Z</cp:lastPrinted>
  <dcterms:modified xsi:type="dcterms:W3CDTF">2020-07-23T05:17:23Z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